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3C8536">
      <w:pPr>
        <w:jc w:val="center"/>
        <w:rPr>
          <w:szCs w:val="24"/>
        </w:rPr>
      </w:pPr>
    </w:p>
    <w:p w14:paraId="7A283C46">
      <w:pPr>
        <w:jc w:val="center"/>
        <w:rPr>
          <w:sz w:val="56"/>
          <w:szCs w:val="56"/>
        </w:rPr>
      </w:pPr>
    </w:p>
    <w:p w14:paraId="1E7502F7">
      <w:pPr>
        <w:jc w:val="center"/>
        <w:rPr>
          <w:sz w:val="56"/>
          <w:szCs w:val="56"/>
        </w:rPr>
      </w:pPr>
    </w:p>
    <w:p w14:paraId="7E23008E">
      <w:pPr>
        <w:pStyle w:val="18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647565" cy="3556635"/>
            <wp:effectExtent l="0" t="0" r="635" b="9525"/>
            <wp:docPr id="1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7565" cy="3556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2CBF7A">
      <w:pPr>
        <w:jc w:val="center"/>
      </w:pPr>
    </w:p>
    <w:p w14:paraId="4CB94734"/>
    <w:p w14:paraId="72860086">
      <w:pPr>
        <w:jc w:val="center"/>
        <w:rPr>
          <w:rFonts w:eastAsia="Times New Roma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56"/>
          <w:szCs w:val="56"/>
        </w:rPr>
        <w:t>BusView</w:t>
      </w:r>
      <w:r>
        <w:rPr>
          <w:rFonts w:hint="eastAsia" w:asciiTheme="minorEastAsia" w:hAnsiTheme="minorEastAsia" w:cstheme="minorEastAsia"/>
          <w:b/>
          <w:bCs/>
          <w:sz w:val="56"/>
          <w:szCs w:val="56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56"/>
          <w:szCs w:val="56"/>
        </w:rPr>
        <w:t>协议分析仪</w:t>
      </w:r>
    </w:p>
    <w:p w14:paraId="02C455EB">
      <w:pPr>
        <w:jc w:val="center"/>
        <w:rPr>
          <w:rFonts w:ascii="黑体" w:hAnsi="黑体" w:eastAsia="黑体" w:cs="黑体"/>
          <w:b/>
          <w:bCs/>
          <w:color w:val="auto"/>
          <w:spacing w:val="-18"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color w:val="auto"/>
          <w:spacing w:val="-18"/>
          <w:sz w:val="56"/>
          <w:szCs w:val="56"/>
        </w:rPr>
        <w:t>用户手册</w:t>
      </w:r>
      <w:r>
        <w:rPr>
          <w:rFonts w:hint="eastAsia" w:ascii="黑体" w:hAnsi="黑体" w:eastAsia="黑体" w:cs="黑体"/>
          <w:b/>
          <w:bCs/>
          <w:color w:val="auto"/>
          <w:spacing w:val="-18"/>
        </w:rPr>
        <w:t xml:space="preserve">  </w:t>
      </w:r>
      <w:r>
        <w:rPr>
          <w:rFonts w:hint="eastAsia" w:ascii="黑体" w:hAnsi="黑体" w:eastAsia="黑体" w:cs="黑体"/>
          <w:b/>
          <w:bCs/>
          <w:color w:val="auto"/>
          <w:spacing w:val="-18"/>
          <w:lang w:val="en-US" w:eastAsia="zh-CN"/>
        </w:rPr>
        <w:t>v</w:t>
      </w:r>
      <w:r>
        <w:rPr>
          <w:rFonts w:hint="eastAsia" w:ascii="黑体" w:hAnsi="黑体" w:eastAsia="黑体" w:cs="黑体"/>
          <w:b/>
          <w:bCs/>
          <w:color w:val="auto"/>
          <w:spacing w:val="-18"/>
          <w:sz w:val="28"/>
          <w:szCs w:val="28"/>
        </w:rPr>
        <w:t>1.0.0</w:t>
      </w:r>
      <w:bookmarkStart w:id="33" w:name="_GoBack"/>
      <w:bookmarkEnd w:id="33"/>
    </w:p>
    <w:p w14:paraId="7BC6B3F0">
      <w:pPr>
        <w:jc w:val="center"/>
        <w:rPr>
          <w:rFonts w:ascii="黑体" w:hAnsi="黑体" w:eastAsia="黑体" w:cs="黑体"/>
          <w:b/>
          <w:bCs/>
          <w:color w:val="auto"/>
          <w:spacing w:val="-18"/>
          <w:sz w:val="28"/>
          <w:szCs w:val="28"/>
        </w:rPr>
      </w:pPr>
    </w:p>
    <w:p w14:paraId="615E9E06">
      <w:pPr>
        <w:jc w:val="center"/>
        <w:rPr>
          <w:rFonts w:ascii="黑体" w:hAnsi="黑体" w:eastAsia="黑体" w:cs="黑体"/>
          <w:b/>
          <w:bCs/>
          <w:color w:val="auto"/>
          <w:spacing w:val="-18"/>
          <w:sz w:val="28"/>
          <w:szCs w:val="28"/>
        </w:rPr>
      </w:pPr>
    </w:p>
    <w:p w14:paraId="213861BD">
      <w:pPr>
        <w:jc w:val="center"/>
        <w:rPr>
          <w:rFonts w:ascii="黑体" w:hAnsi="黑体" w:eastAsia="黑体" w:cs="黑体"/>
          <w:b/>
          <w:bCs/>
          <w:color w:val="auto"/>
          <w:spacing w:val="-18"/>
          <w:sz w:val="28"/>
          <w:szCs w:val="28"/>
        </w:rPr>
      </w:pPr>
    </w:p>
    <w:p w14:paraId="2F6F0B13">
      <w:pPr>
        <w:jc w:val="center"/>
        <w:rPr>
          <w:rFonts w:ascii="黑体" w:hAnsi="黑体" w:eastAsia="黑体" w:cs="黑体"/>
          <w:b/>
          <w:bCs/>
          <w:color w:val="auto"/>
          <w:spacing w:val="-18"/>
          <w:sz w:val="28"/>
          <w:szCs w:val="28"/>
        </w:rPr>
      </w:pPr>
    </w:p>
    <w:p w14:paraId="1ACEC1B9">
      <w:pPr>
        <w:jc w:val="center"/>
        <w:rPr>
          <w:rFonts w:ascii="黑体" w:hAnsi="黑体" w:eastAsia="黑体" w:cs="黑体"/>
          <w:b/>
          <w:bCs/>
          <w:color w:val="auto"/>
          <w:spacing w:val="-18"/>
          <w:sz w:val="28"/>
          <w:szCs w:val="28"/>
        </w:rPr>
      </w:pPr>
    </w:p>
    <w:p w14:paraId="5BCBC675">
      <w:pPr>
        <w:jc w:val="both"/>
        <w:rPr>
          <w:rFonts w:ascii="黑体" w:hAnsi="黑体" w:eastAsia="黑体" w:cs="黑体"/>
          <w:b/>
          <w:bCs/>
          <w:color w:val="auto"/>
          <w:spacing w:val="-18"/>
          <w:sz w:val="28"/>
          <w:szCs w:val="28"/>
        </w:rPr>
      </w:pPr>
    </w:p>
    <w:p w14:paraId="3A28E1B7">
      <w:pPr>
        <w:rPr>
          <w:rFonts w:ascii="等线" w:hAnsi="等线" w:cs="等线"/>
          <w:spacing w:val="2"/>
          <w:szCs w:val="24"/>
        </w:rPr>
      </w:pPr>
      <w:r>
        <w:rPr>
          <w:rFonts w:hint="eastAsia" w:ascii="等线" w:hAnsi="等线" w:cs="等线"/>
          <w:spacing w:val="2"/>
          <w:szCs w:val="24"/>
        </w:rPr>
        <w:t>修订历史</w:t>
      </w:r>
    </w:p>
    <w:p w14:paraId="3F3D1099">
      <w:pPr>
        <w:rPr>
          <w:rFonts w:ascii="等线" w:hAnsi="等线" w:cs="等线"/>
          <w:szCs w:val="24"/>
        </w:rPr>
      </w:pPr>
      <w:r>
        <w:rPr>
          <w:rFonts w:hint="eastAsia" w:ascii="等线" w:hAnsi="等线" w:cs="等线"/>
          <w:spacing w:val="-2"/>
          <w:szCs w:val="24"/>
        </w:rPr>
        <w:t>下表显示了该文档的修订历史记录。</w:t>
      </w:r>
    </w:p>
    <w:tbl>
      <w:tblPr>
        <w:tblStyle w:val="24"/>
        <w:tblW w:w="8080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39"/>
        <w:gridCol w:w="1253"/>
        <w:gridCol w:w="4488"/>
      </w:tblGrid>
      <w:tr w14:paraId="7BDE37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339" w:type="dxa"/>
          </w:tcPr>
          <w:p w14:paraId="6D4A8453">
            <w:pPr>
              <w:spacing w:line="278" w:lineRule="auto"/>
              <w:jc w:val="center"/>
              <w:rPr>
                <w:rFonts w:ascii="等线" w:hAnsi="等线" w:cs="等线"/>
                <w:szCs w:val="24"/>
                <w:lang w:eastAsia="en-US"/>
              </w:rPr>
            </w:pPr>
            <w:r>
              <w:rPr>
                <w:rFonts w:hint="eastAsia" w:ascii="等线" w:hAnsi="等线" w:cs="等线"/>
                <w:szCs w:val="24"/>
                <w:lang w:eastAsia="en-US"/>
              </w:rPr>
              <w:t>日期(DD/MM/YY)</w:t>
            </w:r>
          </w:p>
        </w:tc>
        <w:tc>
          <w:tcPr>
            <w:tcW w:w="1253" w:type="dxa"/>
          </w:tcPr>
          <w:p w14:paraId="62D70492">
            <w:pPr>
              <w:spacing w:line="278" w:lineRule="auto"/>
              <w:jc w:val="center"/>
              <w:rPr>
                <w:rFonts w:ascii="等线" w:hAnsi="等线" w:cs="等线"/>
                <w:szCs w:val="24"/>
                <w:lang w:eastAsia="en-US"/>
              </w:rPr>
            </w:pPr>
            <w:r>
              <w:rPr>
                <w:rFonts w:hint="eastAsia" w:ascii="等线" w:hAnsi="等线" w:cs="等线"/>
                <w:spacing w:val="-3"/>
                <w:szCs w:val="24"/>
                <w:lang w:eastAsia="en-US"/>
              </w:rPr>
              <w:t>版本</w:t>
            </w:r>
          </w:p>
        </w:tc>
        <w:tc>
          <w:tcPr>
            <w:tcW w:w="4488" w:type="dxa"/>
          </w:tcPr>
          <w:p w14:paraId="37C1A898">
            <w:pPr>
              <w:spacing w:line="278" w:lineRule="auto"/>
              <w:jc w:val="center"/>
              <w:rPr>
                <w:rFonts w:ascii="等线" w:hAnsi="等线" w:cs="等线"/>
                <w:szCs w:val="24"/>
                <w:lang w:eastAsia="en-US"/>
              </w:rPr>
            </w:pPr>
            <w:r>
              <w:rPr>
                <w:rFonts w:hint="eastAsia" w:ascii="等线" w:hAnsi="等线" w:cs="等线"/>
                <w:spacing w:val="-3"/>
                <w:szCs w:val="24"/>
                <w:lang w:eastAsia="en-US"/>
              </w:rPr>
              <w:t>描述</w:t>
            </w:r>
          </w:p>
        </w:tc>
      </w:tr>
      <w:tr w14:paraId="21ED7B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339" w:type="dxa"/>
          </w:tcPr>
          <w:p w14:paraId="48E7F516">
            <w:pPr>
              <w:spacing w:line="278" w:lineRule="auto"/>
              <w:jc w:val="center"/>
              <w:rPr>
                <w:rFonts w:ascii="等线" w:hAnsi="等线" w:cs="等线"/>
                <w:szCs w:val="24"/>
                <w:lang w:eastAsia="en-US"/>
              </w:rPr>
            </w:pPr>
            <w:r>
              <w:rPr>
                <w:rFonts w:hint="eastAsia" w:ascii="等线" w:hAnsi="等线" w:cs="等线"/>
                <w:spacing w:val="-4"/>
                <w:szCs w:val="24"/>
                <w:lang w:eastAsia="en-US"/>
              </w:rPr>
              <w:t>25/08/21</w:t>
            </w:r>
          </w:p>
        </w:tc>
        <w:tc>
          <w:tcPr>
            <w:tcW w:w="1253" w:type="dxa"/>
          </w:tcPr>
          <w:p w14:paraId="182F2B2C">
            <w:pPr>
              <w:spacing w:line="278" w:lineRule="auto"/>
              <w:jc w:val="center"/>
              <w:rPr>
                <w:rFonts w:ascii="等线" w:hAnsi="等线" w:cs="等线"/>
                <w:szCs w:val="24"/>
                <w:lang w:eastAsia="en-US"/>
              </w:rPr>
            </w:pPr>
            <w:r>
              <w:rPr>
                <w:rFonts w:hint="eastAsia" w:ascii="等线" w:hAnsi="等线" w:cs="等线"/>
                <w:spacing w:val="-1"/>
                <w:szCs w:val="24"/>
                <w:lang w:eastAsia="en-US"/>
              </w:rPr>
              <w:t>v1.0.0</w:t>
            </w:r>
          </w:p>
        </w:tc>
        <w:tc>
          <w:tcPr>
            <w:tcW w:w="4488" w:type="dxa"/>
          </w:tcPr>
          <w:p w14:paraId="73F97508">
            <w:pPr>
              <w:spacing w:line="278" w:lineRule="auto"/>
              <w:jc w:val="center"/>
              <w:rPr>
                <w:rFonts w:ascii="等线" w:hAnsi="等线" w:cs="等线"/>
                <w:szCs w:val="24"/>
                <w:lang w:eastAsia="en-US"/>
              </w:rPr>
            </w:pPr>
          </w:p>
        </w:tc>
      </w:tr>
    </w:tbl>
    <w:p w14:paraId="362E5999">
      <w:pPr>
        <w:jc w:val="center"/>
        <w:rPr>
          <w:rFonts w:ascii="黑体" w:hAnsi="黑体" w:eastAsia="黑体" w:cs="黑体"/>
          <w:b/>
          <w:bCs/>
          <w:color w:val="auto"/>
          <w:spacing w:val="-18"/>
          <w:sz w:val="28"/>
          <w:szCs w:val="28"/>
        </w:rPr>
      </w:pPr>
    </w:p>
    <w:p w14:paraId="6EE8298E">
      <w:pPr>
        <w:rPr>
          <w:rFonts w:ascii="宋体" w:hAnsi="宋体" w:eastAsia="宋体" w:cs="宋体"/>
          <w:spacing w:val="2"/>
          <w:sz w:val="43"/>
          <w:szCs w:val="43"/>
        </w:rPr>
      </w:pPr>
    </w:p>
    <w:p w14:paraId="6858143F">
      <w:pPr>
        <w:pStyle w:val="30"/>
        <w:widowControl/>
        <w:outlineLvl w:val="9"/>
        <w:rPr>
          <w:rFonts w:ascii="宋体" w:hAnsi="宋体" w:eastAsia="宋体" w:cs="宋体"/>
          <w:spacing w:val="2"/>
          <w:sz w:val="43"/>
          <w:szCs w:val="43"/>
        </w:rPr>
      </w:pPr>
      <w:r>
        <w:br w:type="page"/>
      </w:r>
    </w:p>
    <w:sdt>
      <w:sdtPr>
        <w:rPr>
          <w:rFonts w:ascii="宋体" w:hAnsi="宋体" w:eastAsia="宋体"/>
          <w:sz w:val="21"/>
        </w:rPr>
        <w:id w:val="147452874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spacing w:val="2"/>
          <w:sz w:val="24"/>
          <w:szCs w:val="43"/>
        </w:rPr>
      </w:sdtEndPr>
      <w:sdtContent>
        <w:p w14:paraId="0FC892DE">
          <w:pPr>
            <w:spacing w:after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07547107">
          <w:pPr>
            <w:pStyle w:val="15"/>
            <w:tabs>
              <w:tab w:val="right" w:leader="dot" w:pos="8732"/>
            </w:tabs>
          </w:pPr>
          <w:r>
            <w:rPr>
              <w:rFonts w:ascii="宋体" w:hAnsi="宋体" w:eastAsia="宋体" w:cs="宋体"/>
              <w:spacing w:val="2"/>
              <w:szCs w:val="43"/>
            </w:rPr>
            <w:fldChar w:fldCharType="begin"/>
          </w:r>
          <w:r>
            <w:rPr>
              <w:rFonts w:ascii="宋体" w:hAnsi="宋体" w:eastAsia="宋体" w:cs="宋体"/>
              <w:spacing w:val="2"/>
              <w:szCs w:val="43"/>
            </w:rPr>
            <w:instrText xml:space="preserve">TOC \o "1-2" \h \u </w:instrText>
          </w:r>
          <w:r>
            <w:rPr>
              <w:rFonts w:ascii="宋体" w:hAnsi="宋体" w:eastAsia="宋体" w:cs="宋体"/>
              <w:spacing w:val="2"/>
              <w:szCs w:val="43"/>
            </w:rPr>
            <w:fldChar w:fldCharType="separate"/>
          </w:r>
          <w:r>
            <w:fldChar w:fldCharType="begin"/>
          </w:r>
          <w:r>
            <w:instrText xml:space="preserve"> HYPERLINK \l "_Toc31892" </w:instrText>
          </w:r>
          <w:r>
            <w:fldChar w:fldCharType="separate"/>
          </w:r>
          <w:r>
            <w:t>1. 产品概述</w:t>
          </w:r>
          <w:r>
            <w:tab/>
          </w:r>
          <w:r>
            <w:fldChar w:fldCharType="begin"/>
          </w:r>
          <w:r>
            <w:instrText xml:space="preserve"> PAGEREF _Toc31892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77728695">
          <w:pPr>
            <w:pStyle w:val="15"/>
            <w:tabs>
              <w:tab w:val="right" w:leader="dot" w:pos="8732"/>
            </w:tabs>
          </w:pPr>
          <w:r>
            <w:fldChar w:fldCharType="begin"/>
          </w:r>
          <w:r>
            <w:instrText xml:space="preserve"> HYPERLINK \l "_Toc27206" </w:instrText>
          </w:r>
          <w:r>
            <w:fldChar w:fldCharType="separate"/>
          </w:r>
          <w:r>
            <w:t>2. 准备工作</w:t>
          </w:r>
          <w:r>
            <w:tab/>
          </w:r>
          <w:r>
            <w:fldChar w:fldCharType="begin"/>
          </w:r>
          <w:r>
            <w:instrText xml:space="preserve"> PAGEREF _Toc27206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76C4AD91">
          <w:pPr>
            <w:pStyle w:val="17"/>
            <w:tabs>
              <w:tab w:val="right" w:leader="dot" w:pos="8732"/>
            </w:tabs>
            <w:ind w:left="480"/>
          </w:pPr>
          <w:r>
            <w:fldChar w:fldCharType="begin"/>
          </w:r>
          <w:r>
            <w:instrText xml:space="preserve"> HYPERLINK \l "_Toc29744" </w:instrText>
          </w:r>
          <w:r>
            <w:fldChar w:fldCharType="separate"/>
          </w:r>
          <w:r>
            <w:rPr>
              <w:rFonts w:ascii="黑体" w:hAnsi="黑体" w:eastAsia="黑体" w:cs="黑体"/>
            </w:rPr>
            <w:t xml:space="preserve">2.1 </w:t>
          </w:r>
          <w:r>
            <w:t>运行环境</w:t>
          </w:r>
          <w:r>
            <w:tab/>
          </w:r>
          <w:r>
            <w:fldChar w:fldCharType="begin"/>
          </w:r>
          <w:r>
            <w:instrText xml:space="preserve"> PAGEREF _Toc29744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0C29D9FA">
          <w:pPr>
            <w:pStyle w:val="17"/>
            <w:tabs>
              <w:tab w:val="right" w:leader="dot" w:pos="8732"/>
            </w:tabs>
            <w:ind w:left="480"/>
          </w:pPr>
          <w:r>
            <w:fldChar w:fldCharType="begin"/>
          </w:r>
          <w:r>
            <w:instrText xml:space="preserve"> HYPERLINK \l "_Toc30624" </w:instrText>
          </w:r>
          <w:r>
            <w:fldChar w:fldCharType="separate"/>
          </w:r>
          <w:r>
            <w:rPr>
              <w:rFonts w:ascii="黑体" w:hAnsi="黑体" w:eastAsia="黑体" w:cs="黑体"/>
            </w:rPr>
            <w:t xml:space="preserve">2.2 </w:t>
          </w:r>
          <w:r>
            <w:t>软件安装</w:t>
          </w:r>
          <w:r>
            <w:tab/>
          </w:r>
          <w:r>
            <w:fldChar w:fldCharType="begin"/>
          </w:r>
          <w:r>
            <w:instrText xml:space="preserve"> PAGEREF _Toc30624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456B307B">
          <w:pPr>
            <w:pStyle w:val="17"/>
            <w:tabs>
              <w:tab w:val="right" w:leader="dot" w:pos="8732"/>
            </w:tabs>
            <w:ind w:left="480"/>
          </w:pPr>
          <w:r>
            <w:fldChar w:fldCharType="begin"/>
          </w:r>
          <w:r>
            <w:instrText xml:space="preserve"> HYPERLINK \l "_Toc31543" </w:instrText>
          </w:r>
          <w:r>
            <w:fldChar w:fldCharType="separate"/>
          </w:r>
          <w:r>
            <w:t>2.3 BusView 硬件连接</w:t>
          </w:r>
          <w:r>
            <w:tab/>
          </w:r>
          <w:r>
            <w:fldChar w:fldCharType="begin"/>
          </w:r>
          <w:r>
            <w:instrText xml:space="preserve"> PAGEREF _Toc31543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665C1361">
          <w:pPr>
            <w:pStyle w:val="15"/>
            <w:tabs>
              <w:tab w:val="right" w:leader="dot" w:pos="8732"/>
            </w:tabs>
          </w:pPr>
          <w:r>
            <w:fldChar w:fldCharType="begin"/>
          </w:r>
          <w:r>
            <w:instrText xml:space="preserve"> HYPERLINK \l "_Toc12909" </w:instrText>
          </w:r>
          <w:r>
            <w:fldChar w:fldCharType="separate"/>
          </w:r>
          <w:r>
            <w:rPr>
              <w:rFonts w:hint="eastAsia"/>
            </w:rPr>
            <w:t>3.软件操作</w:t>
          </w:r>
          <w:r>
            <w:tab/>
          </w:r>
          <w:r>
            <w:fldChar w:fldCharType="begin"/>
          </w:r>
          <w:r>
            <w:instrText xml:space="preserve"> PAGEREF _Toc12909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68608BDA">
          <w:pPr>
            <w:pStyle w:val="17"/>
            <w:tabs>
              <w:tab w:val="right" w:leader="dot" w:pos="8732"/>
            </w:tabs>
            <w:ind w:left="480"/>
          </w:pPr>
          <w:r>
            <w:fldChar w:fldCharType="begin"/>
          </w:r>
          <w:r>
            <w:instrText xml:space="preserve"> HYPERLINK \l "_Toc17356" </w:instrText>
          </w:r>
          <w:r>
            <w:fldChar w:fldCharType="separate"/>
          </w:r>
          <w:r>
            <w:rPr>
              <w:rFonts w:ascii="黑体" w:hAnsi="黑体" w:eastAsia="黑体" w:cs="黑体"/>
            </w:rPr>
            <w:t xml:space="preserve">3.1 </w:t>
          </w:r>
          <w:r>
            <w:t>启动软件</w:t>
          </w:r>
          <w:r>
            <w:tab/>
          </w:r>
          <w:r>
            <w:fldChar w:fldCharType="begin"/>
          </w:r>
          <w:r>
            <w:instrText xml:space="preserve"> PAGEREF _Toc17356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64459479">
          <w:pPr>
            <w:pStyle w:val="17"/>
            <w:tabs>
              <w:tab w:val="right" w:leader="dot" w:pos="8732"/>
            </w:tabs>
            <w:ind w:left="480"/>
          </w:pPr>
          <w:r>
            <w:fldChar w:fldCharType="begin"/>
          </w:r>
          <w:r>
            <w:instrText xml:space="preserve"> HYPERLINK \l "_Toc13277" </w:instrText>
          </w:r>
          <w:r>
            <w:fldChar w:fldCharType="separate"/>
          </w:r>
          <w:r>
            <w:rPr>
              <w:rFonts w:ascii="黑体" w:hAnsi="黑体" w:eastAsia="黑体" w:cs="黑体"/>
            </w:rPr>
            <w:t xml:space="preserve">3.2 </w:t>
          </w:r>
          <w:r>
            <w:t>工具栏</w:t>
          </w:r>
          <w:r>
            <w:tab/>
          </w:r>
          <w:r>
            <w:fldChar w:fldCharType="begin"/>
          </w:r>
          <w:r>
            <w:instrText xml:space="preserve"> PAGEREF _Toc13277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4931324F">
          <w:pPr>
            <w:pStyle w:val="17"/>
            <w:tabs>
              <w:tab w:val="right" w:leader="dot" w:pos="8732"/>
            </w:tabs>
            <w:ind w:left="480"/>
          </w:pPr>
          <w:r>
            <w:fldChar w:fldCharType="begin"/>
          </w:r>
          <w:r>
            <w:instrText xml:space="preserve"> HYPERLINK \l "_Toc23439" </w:instrText>
          </w:r>
          <w:r>
            <w:fldChar w:fldCharType="separate"/>
          </w:r>
          <w:r>
            <w:rPr>
              <w:rFonts w:ascii="黑体" w:hAnsi="黑体" w:eastAsia="黑体" w:cs="黑体"/>
            </w:rPr>
            <w:t xml:space="preserve">3.3 </w:t>
          </w:r>
          <w:r>
            <w:t>触发设置</w:t>
          </w:r>
          <w:r>
            <w:tab/>
          </w:r>
          <w:r>
            <w:fldChar w:fldCharType="begin"/>
          </w:r>
          <w:r>
            <w:instrText xml:space="preserve"> PAGEREF _Toc23439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18A20FE1">
          <w:pPr>
            <w:pStyle w:val="17"/>
            <w:tabs>
              <w:tab w:val="right" w:leader="dot" w:pos="8732"/>
            </w:tabs>
            <w:ind w:left="480"/>
          </w:pPr>
          <w:r>
            <w:fldChar w:fldCharType="begin"/>
          </w:r>
          <w:r>
            <w:instrText xml:space="preserve"> HYPERLINK \l "_Toc3962" </w:instrText>
          </w:r>
          <w:r>
            <w:fldChar w:fldCharType="separate"/>
          </w:r>
          <w:r>
            <w:rPr>
              <w:rFonts w:ascii="黑体" w:hAnsi="黑体" w:eastAsia="黑体" w:cs="黑体"/>
            </w:rPr>
            <w:t xml:space="preserve">3.4 </w:t>
          </w:r>
          <w:r>
            <w:t>波形捕获</w:t>
          </w:r>
          <w:r>
            <w:tab/>
          </w:r>
          <w:r>
            <w:fldChar w:fldCharType="begin"/>
          </w:r>
          <w:r>
            <w:instrText xml:space="preserve"> PAGEREF _Toc3962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570FE7ED">
          <w:pPr>
            <w:pStyle w:val="17"/>
            <w:tabs>
              <w:tab w:val="right" w:leader="dot" w:pos="8732"/>
            </w:tabs>
            <w:ind w:left="480"/>
          </w:pPr>
          <w:r>
            <w:fldChar w:fldCharType="begin"/>
          </w:r>
          <w:r>
            <w:instrText xml:space="preserve"> HYPERLINK \l "_Toc31396" </w:instrText>
          </w:r>
          <w:r>
            <w:fldChar w:fldCharType="separate"/>
          </w:r>
          <w:r>
            <w:rPr>
              <w:rFonts w:ascii="黑体" w:hAnsi="黑体" w:eastAsia="黑体" w:cs="黑体"/>
            </w:rPr>
            <w:t xml:space="preserve">3.5 </w:t>
          </w:r>
          <w:r>
            <w:t>采集模式</w:t>
          </w:r>
          <w:r>
            <w:tab/>
          </w:r>
          <w:r>
            <w:fldChar w:fldCharType="begin"/>
          </w:r>
          <w:r>
            <w:instrText xml:space="preserve"> PAGEREF _Toc31396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5BD98A60">
          <w:pPr>
            <w:pStyle w:val="17"/>
            <w:tabs>
              <w:tab w:val="right" w:leader="dot" w:pos="8732"/>
            </w:tabs>
            <w:ind w:left="480"/>
          </w:pPr>
          <w:r>
            <w:fldChar w:fldCharType="begin"/>
          </w:r>
          <w:r>
            <w:instrText xml:space="preserve"> HYPERLINK \l "_Toc19601" </w:instrText>
          </w:r>
          <w:r>
            <w:fldChar w:fldCharType="separate"/>
          </w:r>
          <w:r>
            <w:rPr>
              <w:rFonts w:ascii="黑体" w:hAnsi="黑体" w:eastAsia="黑体" w:cs="黑体"/>
            </w:rPr>
            <w:t xml:space="preserve">3.6 </w:t>
          </w:r>
          <w:r>
            <w:t>波形查看</w:t>
          </w:r>
          <w:r>
            <w:tab/>
          </w:r>
          <w:r>
            <w:fldChar w:fldCharType="begin"/>
          </w:r>
          <w:r>
            <w:instrText xml:space="preserve"> PAGEREF _Toc19601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5CA4ED35">
          <w:pPr>
            <w:pStyle w:val="17"/>
            <w:tabs>
              <w:tab w:val="right" w:leader="dot" w:pos="8732"/>
            </w:tabs>
            <w:ind w:left="480"/>
          </w:pPr>
          <w:r>
            <w:fldChar w:fldCharType="begin"/>
          </w:r>
          <w:r>
            <w:instrText xml:space="preserve"> HYPERLINK \l "_Toc25595" </w:instrText>
          </w:r>
          <w:r>
            <w:fldChar w:fldCharType="separate"/>
          </w:r>
          <w:r>
            <w:rPr>
              <w:rFonts w:ascii="黑体" w:hAnsi="黑体" w:eastAsia="黑体" w:cs="黑体"/>
            </w:rPr>
            <w:t xml:space="preserve">3.7 </w:t>
          </w:r>
          <w:r>
            <w:t>波形拖动与缩放</w:t>
          </w:r>
          <w:r>
            <w:tab/>
          </w:r>
          <w:r>
            <w:fldChar w:fldCharType="begin"/>
          </w:r>
          <w:r>
            <w:instrText xml:space="preserve"> PAGEREF _Toc25595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48835E6E">
          <w:pPr>
            <w:pStyle w:val="17"/>
            <w:tabs>
              <w:tab w:val="right" w:leader="dot" w:pos="8732"/>
            </w:tabs>
            <w:ind w:left="480"/>
          </w:pPr>
          <w:r>
            <w:fldChar w:fldCharType="begin"/>
          </w:r>
          <w:r>
            <w:instrText xml:space="preserve"> HYPERLINK \l "_Toc24545" </w:instrText>
          </w:r>
          <w:r>
            <w:fldChar w:fldCharType="separate"/>
          </w:r>
          <w:r>
            <w:rPr>
              <w:rFonts w:ascii="黑体" w:hAnsi="黑体" w:eastAsia="黑体" w:cs="黑体"/>
            </w:rPr>
            <w:t xml:space="preserve">3.8 </w:t>
          </w:r>
          <w:r>
            <w:t>波形搜索</w:t>
          </w:r>
          <w:r>
            <w:tab/>
          </w:r>
          <w:r>
            <w:fldChar w:fldCharType="begin"/>
          </w:r>
          <w:r>
            <w:instrText xml:space="preserve"> PAGEREF _Toc24545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1DFE7D53">
          <w:pPr>
            <w:pStyle w:val="17"/>
            <w:tabs>
              <w:tab w:val="right" w:leader="dot" w:pos="8732"/>
            </w:tabs>
            <w:ind w:left="480"/>
          </w:pPr>
          <w:r>
            <w:fldChar w:fldCharType="begin"/>
          </w:r>
          <w:r>
            <w:instrText xml:space="preserve"> HYPERLINK \l "_Toc10418" </w:instrText>
          </w:r>
          <w:r>
            <w:fldChar w:fldCharType="separate"/>
          </w:r>
          <w:r>
            <w:rPr>
              <w:rFonts w:ascii="黑体" w:hAnsi="黑体" w:eastAsia="黑体" w:cs="黑体"/>
            </w:rPr>
            <w:t xml:space="preserve">3.9 </w:t>
          </w:r>
          <w:r>
            <w:t>通道设置</w:t>
          </w:r>
          <w:r>
            <w:tab/>
          </w:r>
          <w:r>
            <w:fldChar w:fldCharType="begin"/>
          </w:r>
          <w:r>
            <w:instrText xml:space="preserve"> PAGEREF _Toc10418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26095ACC">
          <w:pPr>
            <w:pStyle w:val="17"/>
            <w:tabs>
              <w:tab w:val="right" w:leader="dot" w:pos="8732"/>
            </w:tabs>
            <w:ind w:left="480"/>
          </w:pPr>
          <w:r>
            <w:fldChar w:fldCharType="begin"/>
          </w:r>
          <w:r>
            <w:instrText xml:space="preserve"> HYPERLINK \l "_Toc20451" </w:instrText>
          </w:r>
          <w:r>
            <w:fldChar w:fldCharType="separate"/>
          </w:r>
          <w:r>
            <w:rPr>
              <w:rFonts w:ascii="黑体" w:hAnsi="黑体" w:eastAsia="黑体" w:cs="黑体"/>
            </w:rPr>
            <w:t xml:space="preserve">3.10 </w:t>
          </w:r>
          <w:r>
            <w:t>波形测量</w:t>
          </w:r>
          <w:r>
            <w:tab/>
          </w:r>
          <w:r>
            <w:fldChar w:fldCharType="begin"/>
          </w:r>
          <w:r>
            <w:instrText xml:space="preserve"> PAGEREF _Toc20451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080A2357">
          <w:pPr>
            <w:pStyle w:val="17"/>
            <w:tabs>
              <w:tab w:val="right" w:leader="dot" w:pos="8732"/>
            </w:tabs>
            <w:ind w:left="480"/>
          </w:pPr>
          <w:r>
            <w:fldChar w:fldCharType="begin"/>
          </w:r>
          <w:r>
            <w:instrText xml:space="preserve"> HYPERLINK \l "_Toc28629" </w:instrText>
          </w:r>
          <w:r>
            <w:fldChar w:fldCharType="separate"/>
          </w:r>
          <w:r>
            <w:rPr>
              <w:rFonts w:ascii="黑体" w:hAnsi="黑体" w:eastAsia="黑体" w:cs="黑体"/>
            </w:rPr>
            <w:t xml:space="preserve">3.11 </w:t>
          </w:r>
          <w:r>
            <w:t>脉宽/频率测量</w:t>
          </w:r>
          <w:r>
            <w:tab/>
          </w:r>
          <w:r>
            <w:fldChar w:fldCharType="begin"/>
          </w:r>
          <w:r>
            <w:instrText xml:space="preserve"> PAGEREF _Toc28629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4F1563FD">
          <w:pPr>
            <w:pStyle w:val="17"/>
            <w:tabs>
              <w:tab w:val="right" w:leader="dot" w:pos="8732"/>
            </w:tabs>
            <w:ind w:left="480"/>
          </w:pPr>
          <w:r>
            <w:fldChar w:fldCharType="begin"/>
          </w:r>
          <w:r>
            <w:instrText xml:space="preserve"> HYPERLINK \l "_Toc16418" </w:instrText>
          </w:r>
          <w:r>
            <w:fldChar w:fldCharType="separate"/>
          </w:r>
          <w:r>
            <w:rPr>
              <w:rFonts w:ascii="黑体" w:hAnsi="黑体" w:eastAsia="黑体" w:cs="黑体"/>
            </w:rPr>
            <w:t xml:space="preserve">3.12 </w:t>
          </w:r>
          <w:r>
            <w:t>脉冲计数</w:t>
          </w:r>
          <w:r>
            <w:tab/>
          </w:r>
          <w:r>
            <w:fldChar w:fldCharType="begin"/>
          </w:r>
          <w:r>
            <w:instrText xml:space="preserve"> PAGEREF _Toc16418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38864092">
          <w:pPr>
            <w:pStyle w:val="17"/>
            <w:tabs>
              <w:tab w:val="right" w:leader="dot" w:pos="8732"/>
            </w:tabs>
            <w:ind w:left="480"/>
          </w:pPr>
          <w:r>
            <w:fldChar w:fldCharType="begin"/>
          </w:r>
          <w:r>
            <w:instrText xml:space="preserve"> HYPERLINK \l "_Toc11458" </w:instrText>
          </w:r>
          <w:r>
            <w:fldChar w:fldCharType="separate"/>
          </w:r>
          <w:r>
            <w:rPr>
              <w:rFonts w:ascii="黑体" w:hAnsi="黑体" w:eastAsia="黑体" w:cs="黑体"/>
            </w:rPr>
            <w:t xml:space="preserve">3.13 </w:t>
          </w:r>
          <w:r>
            <w:t>跳变沿距离</w:t>
          </w:r>
          <w:r>
            <w:tab/>
          </w:r>
          <w:r>
            <w:fldChar w:fldCharType="begin"/>
          </w:r>
          <w:r>
            <w:instrText xml:space="preserve"> PAGEREF _Toc11458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3434AA8A">
          <w:pPr>
            <w:pStyle w:val="17"/>
            <w:tabs>
              <w:tab w:val="right" w:leader="dot" w:pos="8732"/>
            </w:tabs>
            <w:ind w:left="480"/>
          </w:pPr>
          <w:r>
            <w:fldChar w:fldCharType="begin"/>
          </w:r>
          <w:r>
            <w:instrText xml:space="preserve"> HYPERLINK \l "_Toc17531" </w:instrText>
          </w:r>
          <w:r>
            <w:fldChar w:fldCharType="separate"/>
          </w:r>
          <w:r>
            <w:rPr>
              <w:rFonts w:ascii="黑体" w:hAnsi="黑体" w:eastAsia="黑体" w:cs="黑体"/>
            </w:rPr>
            <w:t xml:space="preserve">3.14 </w:t>
          </w:r>
          <w:r>
            <w:t>光标插入</w:t>
          </w:r>
          <w:r>
            <w:tab/>
          </w:r>
          <w:r>
            <w:fldChar w:fldCharType="begin"/>
          </w:r>
          <w:r>
            <w:instrText xml:space="preserve"> PAGEREF _Toc17531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5DF27ED5">
          <w:pPr>
            <w:pStyle w:val="17"/>
            <w:tabs>
              <w:tab w:val="right" w:leader="dot" w:pos="8732"/>
            </w:tabs>
            <w:ind w:left="480"/>
          </w:pPr>
          <w:r>
            <w:fldChar w:fldCharType="begin"/>
          </w:r>
          <w:r>
            <w:instrText xml:space="preserve"> HYPERLINK \l "_Toc16887" </w:instrText>
          </w:r>
          <w:r>
            <w:fldChar w:fldCharType="separate"/>
          </w:r>
          <w:r>
            <w:rPr>
              <w:rFonts w:ascii="黑体" w:hAnsi="黑体" w:eastAsia="黑体" w:cs="黑体"/>
            </w:rPr>
            <w:t xml:space="preserve">3.15 </w:t>
          </w:r>
          <w:r>
            <w:t>光标移动</w:t>
          </w:r>
          <w:r>
            <w:tab/>
          </w:r>
          <w:r>
            <w:fldChar w:fldCharType="begin"/>
          </w:r>
          <w:r>
            <w:instrText xml:space="preserve"> PAGEREF _Toc16887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19B42C0D">
          <w:pPr>
            <w:pStyle w:val="17"/>
            <w:tabs>
              <w:tab w:val="right" w:leader="dot" w:pos="8732"/>
            </w:tabs>
            <w:ind w:left="480"/>
          </w:pPr>
          <w:r>
            <w:fldChar w:fldCharType="begin"/>
          </w:r>
          <w:r>
            <w:instrText xml:space="preserve"> HYPERLINK \l "_Toc9024" </w:instrText>
          </w:r>
          <w:r>
            <w:fldChar w:fldCharType="separate"/>
          </w:r>
          <w:r>
            <w:rPr>
              <w:rFonts w:ascii="黑体" w:hAnsi="黑体" w:eastAsia="黑体" w:cs="黑体"/>
            </w:rPr>
            <w:t xml:space="preserve">3.16 </w:t>
          </w:r>
          <w:r>
            <w:t>光标跳转</w:t>
          </w:r>
          <w:r>
            <w:tab/>
          </w:r>
          <w:r>
            <w:fldChar w:fldCharType="begin"/>
          </w:r>
          <w:r>
            <w:instrText xml:space="preserve"> PAGEREF _Toc9024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60594DA9">
          <w:pPr>
            <w:pStyle w:val="17"/>
            <w:tabs>
              <w:tab w:val="right" w:leader="dot" w:pos="8732"/>
            </w:tabs>
            <w:ind w:left="480"/>
          </w:pPr>
          <w:r>
            <w:fldChar w:fldCharType="begin"/>
          </w:r>
          <w:r>
            <w:instrText xml:space="preserve"> HYPERLINK \l "_Toc15131" </w:instrText>
          </w:r>
          <w:r>
            <w:fldChar w:fldCharType="separate"/>
          </w:r>
          <w:r>
            <w:rPr>
              <w:rFonts w:ascii="黑体" w:hAnsi="黑体" w:eastAsia="黑体" w:cs="黑体"/>
            </w:rPr>
            <w:t xml:space="preserve">3.17 </w:t>
          </w:r>
          <w:r>
            <w:t>协议解码</w:t>
          </w:r>
          <w:r>
            <w:tab/>
          </w:r>
          <w:r>
            <w:fldChar w:fldCharType="begin"/>
          </w:r>
          <w:r>
            <w:instrText xml:space="preserve"> PAGEREF _Toc15131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27C3E804">
          <w:pPr>
            <w:pStyle w:val="17"/>
            <w:tabs>
              <w:tab w:val="right" w:leader="dot" w:pos="8732"/>
            </w:tabs>
            <w:ind w:left="480"/>
          </w:pPr>
          <w:r>
            <w:fldChar w:fldCharType="begin"/>
          </w:r>
          <w:r>
            <w:instrText xml:space="preserve"> HYPERLINK \l "_Toc9620" </w:instrText>
          </w:r>
          <w:r>
            <w:fldChar w:fldCharType="separate"/>
          </w:r>
          <w:r>
            <w:rPr>
              <w:rFonts w:ascii="黑体" w:hAnsi="黑体" w:eastAsia="黑体" w:cs="黑体"/>
            </w:rPr>
            <w:t xml:space="preserve">3.18 </w:t>
          </w:r>
          <w:r>
            <w:t>文件操作</w:t>
          </w:r>
          <w:r>
            <w:tab/>
          </w:r>
          <w:r>
            <w:fldChar w:fldCharType="begin"/>
          </w:r>
          <w:r>
            <w:instrText xml:space="preserve"> PAGEREF _Toc9620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4D452933">
          <w:pPr>
            <w:pStyle w:val="17"/>
            <w:tabs>
              <w:tab w:val="right" w:leader="dot" w:pos="8732"/>
            </w:tabs>
            <w:ind w:left="480"/>
          </w:pPr>
          <w:r>
            <w:fldChar w:fldCharType="begin"/>
          </w:r>
          <w:r>
            <w:instrText xml:space="preserve"> HYPERLINK \l "_Toc24701" </w:instrText>
          </w:r>
          <w:r>
            <w:fldChar w:fldCharType="separate"/>
          </w:r>
          <w:r>
            <w:rPr>
              <w:rFonts w:ascii="黑体" w:hAnsi="黑体" w:eastAsia="黑体" w:cs="黑体"/>
            </w:rPr>
            <w:t xml:space="preserve">3.19 </w:t>
          </w:r>
          <w:r>
            <w:t>数据保存</w:t>
          </w:r>
          <w:r>
            <w:tab/>
          </w:r>
          <w:r>
            <w:fldChar w:fldCharType="begin"/>
          </w:r>
          <w:r>
            <w:instrText xml:space="preserve"> PAGEREF _Toc24701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45044B9C">
          <w:pPr>
            <w:pStyle w:val="17"/>
            <w:tabs>
              <w:tab w:val="right" w:leader="dot" w:pos="8732"/>
            </w:tabs>
            <w:ind w:left="480"/>
          </w:pPr>
          <w:r>
            <w:fldChar w:fldCharType="begin"/>
          </w:r>
          <w:r>
            <w:instrText xml:space="preserve"> HYPERLINK \l "_Toc20341" </w:instrText>
          </w:r>
          <w:r>
            <w:fldChar w:fldCharType="separate"/>
          </w:r>
          <w:r>
            <w:rPr>
              <w:rFonts w:ascii="黑体" w:hAnsi="黑体" w:eastAsia="黑体" w:cs="黑体"/>
            </w:rPr>
            <w:t xml:space="preserve">3.20 </w:t>
          </w:r>
          <w:r>
            <w:t>数据导出</w:t>
          </w:r>
          <w:r>
            <w:tab/>
          </w:r>
          <w:r>
            <w:fldChar w:fldCharType="begin"/>
          </w:r>
          <w:r>
            <w:instrText xml:space="preserve"> PAGEREF _Toc20341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08AF43CF">
          <w:pPr>
            <w:pStyle w:val="17"/>
            <w:tabs>
              <w:tab w:val="right" w:leader="dot" w:pos="8732"/>
            </w:tabs>
            <w:ind w:left="480"/>
          </w:pPr>
          <w:r>
            <w:fldChar w:fldCharType="begin"/>
          </w:r>
          <w:r>
            <w:instrText xml:space="preserve"> HYPERLINK \l "_Toc14177" </w:instrText>
          </w:r>
          <w:r>
            <w:fldChar w:fldCharType="separate"/>
          </w:r>
          <w:r>
            <w:rPr>
              <w:rFonts w:ascii="黑体" w:hAnsi="黑体" w:eastAsia="黑体" w:cs="黑体"/>
            </w:rPr>
            <w:t xml:space="preserve">3.21 </w:t>
          </w:r>
          <w:r>
            <w:t>截图</w:t>
          </w:r>
          <w:r>
            <w:tab/>
          </w:r>
          <w:r>
            <w:fldChar w:fldCharType="begin"/>
          </w:r>
          <w:r>
            <w:instrText xml:space="preserve"> PAGEREF _Toc14177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5C42637B">
          <w:pPr>
            <w:pStyle w:val="17"/>
            <w:tabs>
              <w:tab w:val="right" w:leader="dot" w:pos="8732"/>
            </w:tabs>
            <w:ind w:left="480"/>
          </w:pPr>
          <w:r>
            <w:fldChar w:fldCharType="begin"/>
          </w:r>
          <w:r>
            <w:instrText xml:space="preserve"> HYPERLINK \l "_Toc25938" </w:instrText>
          </w:r>
          <w:r>
            <w:fldChar w:fldCharType="separate"/>
          </w:r>
          <w:r>
            <w:rPr>
              <w:rFonts w:ascii="黑体" w:hAnsi="黑体" w:eastAsia="黑体" w:cs="黑体"/>
            </w:rPr>
            <w:t xml:space="preserve">3.22 </w:t>
          </w:r>
          <w:r>
            <w:t>数据打开</w:t>
          </w:r>
          <w:r>
            <w:tab/>
          </w:r>
          <w:r>
            <w:fldChar w:fldCharType="begin"/>
          </w:r>
          <w:r>
            <w:instrText xml:space="preserve"> PAGEREF _Toc25938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5C76C140">
          <w:pPr>
            <w:rPr>
              <w:rFonts w:ascii="宋体" w:hAnsi="宋体" w:eastAsia="宋体" w:cs="宋体"/>
              <w:spacing w:val="2"/>
              <w:szCs w:val="43"/>
            </w:rPr>
          </w:pPr>
          <w:r>
            <w:rPr>
              <w:rFonts w:ascii="宋体" w:hAnsi="宋体" w:eastAsia="宋体" w:cs="宋体"/>
              <w:spacing w:val="2"/>
              <w:szCs w:val="43"/>
            </w:rPr>
            <w:fldChar w:fldCharType="end"/>
          </w:r>
        </w:p>
      </w:sdtContent>
    </w:sdt>
    <w:p w14:paraId="00176F6F">
      <w:pPr>
        <w:rPr>
          <w:rFonts w:ascii="宋体" w:hAnsi="宋体" w:eastAsia="宋体" w:cs="宋体"/>
          <w:spacing w:val="2"/>
          <w:szCs w:val="43"/>
        </w:rPr>
      </w:pPr>
    </w:p>
    <w:p w14:paraId="4E758CB7">
      <w:pPr>
        <w:rPr>
          <w:rFonts w:ascii="宋体" w:hAnsi="宋体" w:eastAsia="宋体" w:cs="宋体"/>
          <w:spacing w:val="2"/>
          <w:sz w:val="43"/>
          <w:szCs w:val="43"/>
        </w:rPr>
      </w:pPr>
    </w:p>
    <w:p w14:paraId="0515A52F">
      <w:pPr>
        <w:rPr>
          <w:rFonts w:ascii="宋体" w:hAnsi="宋体" w:eastAsia="宋体" w:cs="宋体"/>
          <w:spacing w:val="2"/>
          <w:sz w:val="43"/>
          <w:szCs w:val="43"/>
        </w:rPr>
      </w:pPr>
    </w:p>
    <w:p w14:paraId="1E5CF898">
      <w:pPr>
        <w:rPr>
          <w:rFonts w:ascii="宋体" w:hAnsi="宋体" w:eastAsia="宋体" w:cs="宋体"/>
          <w:spacing w:val="2"/>
          <w:sz w:val="43"/>
          <w:szCs w:val="43"/>
        </w:rPr>
      </w:pPr>
    </w:p>
    <w:p w14:paraId="52FFC2E5">
      <w:pPr>
        <w:rPr>
          <w:rFonts w:ascii="宋体" w:hAnsi="宋体" w:eastAsia="宋体" w:cs="宋体"/>
          <w:spacing w:val="2"/>
          <w:sz w:val="43"/>
          <w:szCs w:val="43"/>
        </w:rPr>
      </w:pPr>
    </w:p>
    <w:p w14:paraId="2AA1C4A6">
      <w:pPr>
        <w:rPr>
          <w:rFonts w:ascii="宋体" w:hAnsi="宋体" w:eastAsia="宋体" w:cs="宋体"/>
          <w:spacing w:val="2"/>
          <w:sz w:val="43"/>
          <w:szCs w:val="43"/>
        </w:rPr>
      </w:pPr>
    </w:p>
    <w:p w14:paraId="34D8104A">
      <w:pPr>
        <w:rPr>
          <w:rFonts w:ascii="宋体" w:hAnsi="宋体" w:eastAsia="宋体" w:cs="宋体"/>
          <w:spacing w:val="2"/>
          <w:sz w:val="43"/>
          <w:szCs w:val="43"/>
        </w:rPr>
      </w:pPr>
    </w:p>
    <w:p w14:paraId="7B22D147">
      <w:pPr>
        <w:rPr>
          <w:rFonts w:ascii="宋体" w:hAnsi="宋体" w:eastAsia="宋体" w:cs="宋体"/>
          <w:spacing w:val="2"/>
          <w:sz w:val="43"/>
          <w:szCs w:val="43"/>
        </w:rPr>
      </w:pPr>
    </w:p>
    <w:p w14:paraId="5371D17D">
      <w:pPr>
        <w:rPr>
          <w:rFonts w:ascii="宋体" w:hAnsi="宋体" w:eastAsia="宋体" w:cs="宋体"/>
          <w:spacing w:val="2"/>
          <w:sz w:val="43"/>
          <w:szCs w:val="43"/>
        </w:rPr>
      </w:pPr>
    </w:p>
    <w:p w14:paraId="1C7D8F4F">
      <w:pPr>
        <w:rPr>
          <w:rFonts w:ascii="宋体" w:hAnsi="宋体" w:eastAsia="宋体" w:cs="宋体"/>
          <w:spacing w:val="2"/>
          <w:sz w:val="43"/>
          <w:szCs w:val="43"/>
        </w:rPr>
      </w:pPr>
    </w:p>
    <w:p w14:paraId="40B6C859">
      <w:pPr>
        <w:rPr>
          <w:rFonts w:ascii="宋体" w:hAnsi="宋体" w:eastAsia="宋体" w:cs="宋体"/>
          <w:spacing w:val="2"/>
          <w:sz w:val="43"/>
          <w:szCs w:val="43"/>
        </w:rPr>
      </w:pPr>
    </w:p>
    <w:p w14:paraId="3976C0B4">
      <w:pPr>
        <w:rPr>
          <w:rFonts w:ascii="宋体" w:hAnsi="宋体" w:eastAsia="宋体" w:cs="宋体"/>
          <w:spacing w:val="2"/>
          <w:sz w:val="43"/>
          <w:szCs w:val="43"/>
        </w:rPr>
      </w:pPr>
    </w:p>
    <w:p w14:paraId="7F568752">
      <w:pPr>
        <w:rPr>
          <w:rFonts w:ascii="宋体" w:hAnsi="宋体" w:eastAsia="宋体" w:cs="宋体"/>
          <w:spacing w:val="2"/>
          <w:sz w:val="43"/>
          <w:szCs w:val="43"/>
        </w:rPr>
      </w:pPr>
    </w:p>
    <w:p w14:paraId="50534C03">
      <w:pPr>
        <w:rPr>
          <w:rFonts w:ascii="宋体" w:hAnsi="宋体" w:eastAsia="宋体" w:cs="宋体"/>
          <w:spacing w:val="2"/>
          <w:sz w:val="43"/>
          <w:szCs w:val="43"/>
        </w:rPr>
      </w:pPr>
    </w:p>
    <w:p w14:paraId="44704F79">
      <w:pPr>
        <w:rPr>
          <w:rFonts w:ascii="宋体" w:hAnsi="宋体" w:eastAsia="宋体" w:cs="宋体"/>
          <w:spacing w:val="2"/>
          <w:sz w:val="43"/>
          <w:szCs w:val="43"/>
        </w:rPr>
      </w:pPr>
    </w:p>
    <w:p w14:paraId="1263E14D">
      <w:pPr>
        <w:rPr>
          <w:rFonts w:ascii="宋体" w:hAnsi="宋体" w:eastAsia="宋体" w:cs="宋体"/>
          <w:spacing w:val="2"/>
          <w:sz w:val="43"/>
          <w:szCs w:val="43"/>
        </w:rPr>
      </w:pPr>
    </w:p>
    <w:p w14:paraId="5913F8EF">
      <w:pPr>
        <w:rPr>
          <w:rFonts w:ascii="宋体" w:hAnsi="宋体" w:eastAsia="宋体" w:cs="宋体"/>
          <w:spacing w:val="2"/>
          <w:sz w:val="43"/>
          <w:szCs w:val="43"/>
        </w:rPr>
      </w:pPr>
    </w:p>
    <w:p w14:paraId="100620B6">
      <w:pPr>
        <w:rPr>
          <w:rFonts w:ascii="宋体" w:hAnsi="宋体" w:eastAsia="宋体" w:cs="宋体"/>
          <w:spacing w:val="2"/>
          <w:sz w:val="43"/>
          <w:szCs w:val="43"/>
        </w:rPr>
      </w:pPr>
    </w:p>
    <w:p w14:paraId="2E82ADAD">
      <w:pPr>
        <w:pStyle w:val="2"/>
        <w:widowControl/>
        <w:numPr>
          <w:ilvl w:val="0"/>
          <w:numId w:val="2"/>
        </w:numPr>
      </w:pPr>
      <w:bookmarkStart w:id="0" w:name="bookmark105"/>
      <w:bookmarkEnd w:id="0"/>
      <w:bookmarkStart w:id="1" w:name="_Toc31892"/>
      <w:r>
        <w:t>产品概述</w:t>
      </w:r>
      <w:bookmarkEnd w:id="1"/>
    </w:p>
    <w:p w14:paraId="30618E52">
      <w:pPr>
        <w:pStyle w:val="11"/>
        <w:widowControl/>
        <w:ind w:firstLine="480"/>
      </w:pPr>
      <w:r>
        <w:t>BusView 是一款多功能的信号捕获与分析软件，主要功能包括数字逻辑信号捕获与测量，数字协议分析与调试，模拟信号实时显示与测量，信号频谱分析等。</w:t>
      </w:r>
    </w:p>
    <w:p w14:paraId="6B2DF5A7">
      <w:pPr>
        <w:pStyle w:val="11"/>
        <w:widowControl/>
        <w:ind w:firstLine="480"/>
      </w:pPr>
      <w:r>
        <w:t>目前BusView支持的硬件: BV3224A</w:t>
      </w:r>
    </w:p>
    <w:p w14:paraId="66E10C0B">
      <w:pPr>
        <w:pStyle w:val="2"/>
        <w:widowControl/>
        <w:numPr>
          <w:ilvl w:val="0"/>
          <w:numId w:val="2"/>
        </w:numPr>
      </w:pPr>
      <w:bookmarkStart w:id="2" w:name="bookmark3"/>
      <w:bookmarkEnd w:id="2"/>
      <w:bookmarkStart w:id="3" w:name="_Toc27206"/>
      <w:r>
        <w:t>准备工作</w:t>
      </w:r>
      <w:bookmarkEnd w:id="3"/>
    </w:p>
    <w:p w14:paraId="3062BE58">
      <w:pPr>
        <w:pStyle w:val="3"/>
        <w:widowControl/>
        <w:numPr>
          <w:ilvl w:val="0"/>
          <w:numId w:val="3"/>
        </w:numPr>
        <w:rPr>
          <w:rFonts w:ascii="黑体" w:hAnsi="黑体" w:cs="黑体"/>
        </w:rPr>
      </w:pPr>
      <w:bookmarkStart w:id="4" w:name="_Toc29744"/>
      <w:r>
        <w:t>运行环境</w:t>
      </w:r>
      <w:bookmarkEnd w:id="4"/>
    </w:p>
    <w:p w14:paraId="62960181"/>
    <w:tbl>
      <w:tblPr>
        <w:tblStyle w:val="25"/>
        <w:tblW w:w="89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64" w:type="dxa"/>
          <w:left w:w="128" w:type="dxa"/>
          <w:bottom w:w="64" w:type="dxa"/>
          <w:right w:w="128" w:type="dxa"/>
        </w:tblCellMar>
      </w:tblPr>
      <w:tblGrid>
        <w:gridCol w:w="1857"/>
        <w:gridCol w:w="7091"/>
      </w:tblGrid>
      <w:tr w14:paraId="78DB2F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64" w:type="dxa"/>
            <w:left w:w="128" w:type="dxa"/>
            <w:bottom w:w="64" w:type="dxa"/>
            <w:right w:w="128" w:type="dxa"/>
          </w:tblCellMar>
        </w:tblPrEx>
        <w:trPr>
          <w:jc w:val="center"/>
        </w:trPr>
        <w:tc>
          <w:tcPr>
            <w:tcW w:w="1857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40CEC8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CPU</w:t>
            </w:r>
          </w:p>
        </w:tc>
        <w:tc>
          <w:tcPr>
            <w:tcW w:w="7091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5F6FCDFB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i</w:t>
            </w:r>
            <w:r>
              <w:rPr>
                <w:b/>
                <w:bCs/>
              </w:rPr>
              <w:t>5</w:t>
            </w:r>
            <w:r>
              <w:rPr>
                <w:rFonts w:hint="eastAsia"/>
                <w:b/>
                <w:bCs/>
              </w:rPr>
              <w:t>/</w:t>
            </w:r>
            <w:r>
              <w:rPr>
                <w:b/>
                <w:bCs/>
              </w:rPr>
              <w:t>6</w:t>
            </w:r>
            <w:r>
              <w:rPr>
                <w:rFonts w:hint="eastAsia"/>
                <w:b/>
                <w:bCs/>
              </w:rPr>
              <w:t>代及以上</w:t>
            </w:r>
          </w:p>
        </w:tc>
      </w:tr>
      <w:tr w14:paraId="26279C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64" w:type="dxa"/>
            <w:left w:w="128" w:type="dxa"/>
            <w:bottom w:w="64" w:type="dxa"/>
            <w:right w:w="128" w:type="dxa"/>
          </w:tblCellMar>
        </w:tblPrEx>
        <w:trPr>
          <w:jc w:val="center"/>
        </w:trPr>
        <w:tc>
          <w:tcPr>
            <w:tcW w:w="185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02CB76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内存</w:t>
            </w:r>
          </w:p>
        </w:tc>
        <w:tc>
          <w:tcPr>
            <w:tcW w:w="7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76813F07">
            <w:r>
              <w:t>16</w:t>
            </w:r>
            <w:r>
              <w:rPr>
                <w:rFonts w:hint="eastAsia"/>
              </w:rPr>
              <w:t>GB及以上</w:t>
            </w:r>
          </w:p>
        </w:tc>
      </w:tr>
      <w:tr w14:paraId="384EF5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64" w:type="dxa"/>
            <w:left w:w="128" w:type="dxa"/>
            <w:bottom w:w="64" w:type="dxa"/>
            <w:right w:w="128" w:type="dxa"/>
          </w:tblCellMar>
        </w:tblPrEx>
        <w:trPr>
          <w:jc w:val="center"/>
        </w:trPr>
        <w:tc>
          <w:tcPr>
            <w:tcW w:w="185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BE314F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硬盘</w:t>
            </w:r>
          </w:p>
        </w:tc>
        <w:tc>
          <w:tcPr>
            <w:tcW w:w="7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3B219444">
            <w:r>
              <w:t>20</w:t>
            </w:r>
            <w:r>
              <w:rPr>
                <w:rFonts w:hint="eastAsia"/>
              </w:rPr>
              <w:t>GB及以上</w:t>
            </w:r>
          </w:p>
        </w:tc>
      </w:tr>
      <w:tr w14:paraId="2B4232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64" w:type="dxa"/>
            <w:left w:w="128" w:type="dxa"/>
            <w:bottom w:w="64" w:type="dxa"/>
            <w:right w:w="128" w:type="dxa"/>
          </w:tblCellMar>
        </w:tblPrEx>
        <w:trPr>
          <w:jc w:val="center"/>
        </w:trPr>
        <w:tc>
          <w:tcPr>
            <w:tcW w:w="185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9595B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显存</w:t>
            </w:r>
          </w:p>
        </w:tc>
        <w:tc>
          <w:tcPr>
            <w:tcW w:w="7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0D672291">
            <w:r>
              <w:t>512</w:t>
            </w:r>
            <w:r>
              <w:rPr>
                <w:rFonts w:hint="eastAsia"/>
              </w:rPr>
              <w:t>MB及以上</w:t>
            </w:r>
          </w:p>
        </w:tc>
      </w:tr>
      <w:tr w14:paraId="5967FF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64" w:type="dxa"/>
            <w:left w:w="128" w:type="dxa"/>
            <w:bottom w:w="64" w:type="dxa"/>
            <w:right w:w="128" w:type="dxa"/>
          </w:tblCellMar>
        </w:tblPrEx>
        <w:trPr>
          <w:jc w:val="center"/>
        </w:trPr>
        <w:tc>
          <w:tcPr>
            <w:tcW w:w="185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8896F4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USB</w:t>
            </w:r>
          </w:p>
        </w:tc>
        <w:tc>
          <w:tcPr>
            <w:tcW w:w="7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2DDBD34D">
            <w:r>
              <w:t>USB2.0 及以上端口</w:t>
            </w:r>
          </w:p>
        </w:tc>
      </w:tr>
      <w:tr w14:paraId="60C661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64" w:type="dxa"/>
            <w:left w:w="128" w:type="dxa"/>
            <w:bottom w:w="64" w:type="dxa"/>
            <w:right w:w="128" w:type="dxa"/>
          </w:tblCellMar>
        </w:tblPrEx>
        <w:trPr>
          <w:jc w:val="center"/>
        </w:trPr>
        <w:tc>
          <w:tcPr>
            <w:tcW w:w="1857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  <w:vAlign w:val="center"/>
          </w:tcPr>
          <w:p w14:paraId="73CCEB1B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操作系统</w:t>
            </w:r>
          </w:p>
        </w:tc>
        <w:tc>
          <w:tcPr>
            <w:tcW w:w="7091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12" w:space="0"/>
            </w:tcBorders>
            <w:vAlign w:val="center"/>
          </w:tcPr>
          <w:p w14:paraId="350E78D3">
            <w:r>
              <w:t>Windows： Win7 / Win8 / Win10 / Win11</w:t>
            </w:r>
          </w:p>
        </w:tc>
      </w:tr>
    </w:tbl>
    <w:p w14:paraId="086A5348"/>
    <w:p w14:paraId="0F697AC0">
      <w:pPr>
        <w:pStyle w:val="3"/>
        <w:widowControl/>
        <w:numPr>
          <w:ilvl w:val="0"/>
          <w:numId w:val="3"/>
        </w:numPr>
        <w:rPr>
          <w:rFonts w:ascii="黑体" w:hAnsi="黑体" w:cs="黑体"/>
        </w:rPr>
      </w:pPr>
      <w:bookmarkStart w:id="5" w:name="_Toc30624"/>
      <w:r>
        <w:t>软件安装</w:t>
      </w:r>
      <w:bookmarkEnd w:id="5"/>
    </w:p>
    <w:p w14:paraId="3BDCE89D">
      <w:pPr>
        <w:pStyle w:val="11"/>
        <w:widowControl/>
        <w:ind w:firstLine="480"/>
      </w:pPr>
      <w:r>
        <w:t>运行软件安装包，选择安装语言</w:t>
      </w:r>
      <w:r>
        <w:rPr>
          <w:rFonts w:hint="eastAsia"/>
        </w:rPr>
        <w:t>。</w:t>
      </w:r>
    </w:p>
    <w:p w14:paraId="173D9BE2">
      <w:r>
        <w:drawing>
          <wp:inline distT="0" distB="0" distL="0" distR="0">
            <wp:extent cx="3448050" cy="1838325"/>
            <wp:effectExtent l="0" t="0" r="0" b="9525"/>
            <wp:docPr id="447" name="图片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图片 4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F1FC1"/>
    <w:p w14:paraId="0E183E8C"/>
    <w:p w14:paraId="6FF88B96"/>
    <w:p w14:paraId="4D0BFC0C">
      <w:pPr>
        <w:ind w:firstLine="420"/>
      </w:pPr>
      <w:r>
        <w:rPr>
          <w:rFonts w:hint="eastAsia"/>
        </w:rPr>
        <w:t>进入安装向导。</w:t>
      </w:r>
    </w:p>
    <w:p w14:paraId="6BD0DC51">
      <w:r>
        <w:drawing>
          <wp:inline distT="0" distB="0" distL="0" distR="0">
            <wp:extent cx="5544820" cy="4007485"/>
            <wp:effectExtent l="0" t="0" r="2540" b="635"/>
            <wp:docPr id="448" name="图片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图片 4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5C782">
      <w:pPr>
        <w:pStyle w:val="11"/>
        <w:widowControl/>
        <w:ind w:firstLine="480"/>
      </w:pPr>
    </w:p>
    <w:p w14:paraId="14C13187">
      <w:pPr>
        <w:pStyle w:val="11"/>
        <w:widowControl/>
        <w:ind w:firstLine="480"/>
      </w:pPr>
    </w:p>
    <w:p w14:paraId="7DDA6C52">
      <w:pPr>
        <w:pStyle w:val="11"/>
        <w:widowControl/>
        <w:ind w:firstLine="480"/>
      </w:pPr>
    </w:p>
    <w:p w14:paraId="399E324B">
      <w:pPr>
        <w:pStyle w:val="11"/>
        <w:widowControl/>
        <w:ind w:firstLine="480"/>
      </w:pPr>
    </w:p>
    <w:p w14:paraId="79BD8F6A">
      <w:pPr>
        <w:pStyle w:val="11"/>
        <w:widowControl/>
        <w:ind w:firstLine="480"/>
      </w:pPr>
    </w:p>
    <w:p w14:paraId="1DCD89F5">
      <w:pPr>
        <w:pStyle w:val="11"/>
        <w:widowControl/>
        <w:ind w:firstLine="480"/>
      </w:pPr>
    </w:p>
    <w:p w14:paraId="306E0F34">
      <w:pPr>
        <w:ind w:firstLine="420"/>
      </w:pPr>
      <w:r>
        <w:rPr>
          <w:rFonts w:hint="eastAsia"/>
          <w:snapToGrid/>
        </w:rPr>
        <w:t>选择安装路径</w:t>
      </w:r>
      <w:r>
        <w:rPr>
          <w:snapToGrid/>
        </w:rPr>
        <w:drawing>
          <wp:inline distT="0" distB="0" distL="0" distR="0">
            <wp:extent cx="5544820" cy="4018915"/>
            <wp:effectExtent l="0" t="0" r="9525" b="9525"/>
            <wp:docPr id="449" name="图片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图片 4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E912D">
      <w:r>
        <w:rPr>
          <w:rFonts w:hint="eastAsia"/>
          <w:snapToGrid/>
        </w:rPr>
        <w:t>等待安装完成。</w:t>
      </w:r>
      <w:r>
        <w:rPr>
          <w:snapToGrid/>
        </w:rPr>
        <w:drawing>
          <wp:inline distT="0" distB="0" distL="0" distR="0">
            <wp:extent cx="5544820" cy="4030345"/>
            <wp:effectExtent l="0" t="0" r="0" b="9525"/>
            <wp:docPr id="450" name="图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图片 4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44643">
      <w:pPr>
        <w:rPr>
          <w:snapToGrid/>
        </w:rPr>
      </w:pPr>
      <w:r>
        <w:rPr>
          <w:rFonts w:hint="eastAsia"/>
          <w:snapToGrid/>
        </w:rPr>
        <w:t>安装完成。</w:t>
      </w:r>
      <w:r>
        <w:rPr>
          <w:snapToGrid/>
        </w:rPr>
        <w:drawing>
          <wp:inline distT="0" distB="0" distL="0" distR="0">
            <wp:extent cx="5544820" cy="3999865"/>
            <wp:effectExtent l="0" t="0" r="9525" b="0"/>
            <wp:docPr id="451" name="图片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图片 45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D0D6C">
      <w:pPr>
        <w:pStyle w:val="3"/>
        <w:numPr>
          <w:ilvl w:val="0"/>
          <w:numId w:val="3"/>
        </w:numPr>
      </w:pPr>
      <w:bookmarkStart w:id="6" w:name="bookmark4"/>
      <w:bookmarkEnd w:id="6"/>
      <w:bookmarkStart w:id="7" w:name="_Toc31543"/>
      <w:r>
        <w:t xml:space="preserve">BusView </w:t>
      </w:r>
      <w:bookmarkStart w:id="8" w:name="bookmark5"/>
      <w:bookmarkEnd w:id="8"/>
      <w:r>
        <w:t>硬件连接</w:t>
      </w:r>
      <w:bookmarkEnd w:id="7"/>
    </w:p>
    <w:p w14:paraId="3AD3D725">
      <w:pPr>
        <w:pStyle w:val="11"/>
        <w:widowControl/>
        <w:ind w:firstLine="480"/>
      </w:pPr>
      <w:r>
        <w:t>通过 USB 数据线，将 BusView协议分析仪连接至 PC的 USB端口。如果PC已经成功的安装了BusView软件，此时硬件指示灯应该为绿色常亮。</w:t>
      </w:r>
    </w:p>
    <w:p w14:paraId="60CBBC5C">
      <w:r>
        <w:rPr>
          <w:snapToGrid/>
        </w:rPr>
        <w:drawing>
          <wp:inline distT="0" distB="0" distL="0" distR="0">
            <wp:extent cx="5544820" cy="1819275"/>
            <wp:effectExtent l="0" t="0" r="3810" b="635"/>
            <wp:docPr id="452" name="图片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图片 4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250A2">
      <w:pPr>
        <w:pStyle w:val="11"/>
        <w:widowControl/>
        <w:ind w:firstLine="480"/>
      </w:pPr>
      <w:r>
        <w:t>如果指示灯为红灯闪烁，表示设备与PC未正常连接，请检查USB数据线是否与PC正常连接，并查看PC设备管理器 – 通用串行总线控制器中USB驱动是否已正常安装（安装BusView软件时会自动安装此驱动），如未正常安装，请手动安装USB驱动程序。驱动安装完成后，请重新插拔USB数据线。</w:t>
      </w:r>
    </w:p>
    <w:p w14:paraId="0163F137"/>
    <w:p w14:paraId="411C3A11">
      <w:pPr>
        <w:rPr>
          <w:snapToGrid/>
        </w:rPr>
      </w:pPr>
      <w:r>
        <w:rPr>
          <w:snapToGrid/>
        </w:rPr>
        <w:drawing>
          <wp:inline distT="0" distB="0" distL="0" distR="0">
            <wp:extent cx="5544820" cy="3747135"/>
            <wp:effectExtent l="0" t="0" r="0" b="7620"/>
            <wp:docPr id="453" name="图片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图片 45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" w:name="bookmark111"/>
      <w:bookmarkEnd w:id="9"/>
    </w:p>
    <w:p w14:paraId="23428102">
      <w:pPr>
        <w:pStyle w:val="2"/>
        <w:numPr>
          <w:ilvl w:val="0"/>
          <w:numId w:val="0"/>
        </w:numPr>
      </w:pPr>
      <w:bookmarkStart w:id="10" w:name="_Toc12909"/>
      <w:r>
        <w:rPr>
          <w:rFonts w:hint="eastAsia"/>
        </w:rPr>
        <w:t>3.软件操作</w:t>
      </w:r>
      <w:bookmarkEnd w:id="10"/>
    </w:p>
    <w:p w14:paraId="219AAB77">
      <w:pPr>
        <w:pStyle w:val="3"/>
        <w:numPr>
          <w:ilvl w:val="0"/>
          <w:numId w:val="4"/>
        </w:numPr>
        <w:rPr>
          <w:rFonts w:ascii="黑体" w:hAnsi="黑体" w:cs="黑体"/>
        </w:rPr>
      </w:pPr>
      <w:bookmarkStart w:id="11" w:name="_Toc17356"/>
      <w:r>
        <w:t>启动软件</w:t>
      </w:r>
      <w:bookmarkEnd w:id="11"/>
    </w:p>
    <w:p w14:paraId="718D3CC9">
      <w:pPr>
        <w:pStyle w:val="11"/>
        <w:widowControl/>
        <w:ind w:firstLine="480"/>
      </w:pPr>
      <w:r>
        <w:t>先将设备连接至PC，并确保设备指示灯为绿色常亮。双击BusView.exe启动软件进入用户界面。此时界面左上角的USB图标为绿色，代表软件与设备正常连接。</w:t>
      </w:r>
    </w:p>
    <w:p w14:paraId="7C2E2279">
      <w:pPr>
        <w:rPr>
          <w:rFonts w:ascii="宋体" w:hAnsi="宋体" w:eastAsia="宋体" w:cs="宋体"/>
          <w:szCs w:val="24"/>
        </w:rPr>
      </w:pPr>
      <w:r>
        <w:rPr>
          <w:snapToGrid/>
        </w:rPr>
        <w:drawing>
          <wp:inline distT="0" distB="0" distL="0" distR="0">
            <wp:extent cx="5544820" cy="2976245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Cs w:val="24"/>
        </w:rPr>
        <w:tab/>
      </w:r>
    </w:p>
    <w:p w14:paraId="76D6B14D">
      <w:pPr>
        <w:pStyle w:val="3"/>
        <w:numPr>
          <w:ilvl w:val="0"/>
          <w:numId w:val="4"/>
        </w:numPr>
        <w:rPr>
          <w:rFonts w:ascii="黑体" w:hAnsi="黑体" w:cs="黑体"/>
        </w:rPr>
      </w:pPr>
      <w:bookmarkStart w:id="12" w:name="_Toc13277"/>
      <w:r>
        <w:t>工具栏</w:t>
      </w:r>
      <w:bookmarkEnd w:id="12"/>
    </w:p>
    <w:p w14:paraId="3C70E3B9">
      <w:pPr>
        <w:pStyle w:val="11"/>
        <w:widowControl/>
        <w:ind w:firstLine="480"/>
      </w:pPr>
      <w:r>
        <w:t>通道设置</w:t>
      </w:r>
    </w:p>
    <w:p w14:paraId="5C270A38">
      <w:pPr>
        <w:rPr>
          <w:rFonts w:ascii="宋体" w:hAnsi="宋体" w:eastAsia="宋体" w:cs="宋体"/>
          <w:szCs w:val="24"/>
        </w:rPr>
      </w:pPr>
      <w:r>
        <w:rPr>
          <w:snapToGrid/>
        </w:rPr>
        <w:drawing>
          <wp:inline distT="0" distB="0" distL="0" distR="0">
            <wp:extent cx="5544820" cy="804545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E9D7E">
      <w:pPr>
        <w:rPr>
          <w:rFonts w:ascii="宋体" w:hAnsi="宋体" w:eastAsia="宋体" w:cs="宋体"/>
          <w:szCs w:val="24"/>
        </w:rPr>
      </w:pPr>
      <w:r>
        <w:rPr>
          <w:snapToGrid/>
        </w:rPr>
        <w:drawing>
          <wp:inline distT="0" distB="0" distL="0" distR="0">
            <wp:extent cx="2881630" cy="28956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98299" cy="291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74450">
      <w:pPr>
        <w:pStyle w:val="11"/>
        <w:widowControl/>
        <w:ind w:firstLine="480"/>
      </w:pPr>
      <w:r>
        <w:t>设置行高：</w:t>
      </w:r>
    </w:p>
    <w:p w14:paraId="4744E86B">
      <w:pPr>
        <w:pStyle w:val="11"/>
        <w:widowControl/>
        <w:ind w:firstLine="480"/>
      </w:pPr>
      <w:r>
        <w:t>可设置主界面中每个通道的信号（波形）高度。</w:t>
      </w:r>
    </w:p>
    <w:p w14:paraId="3C4CE01E">
      <w:pPr>
        <w:pStyle w:val="11"/>
        <w:widowControl/>
        <w:ind w:firstLine="480"/>
      </w:pPr>
      <w:r>
        <w:t>通道使能：</w:t>
      </w:r>
    </w:p>
    <w:p w14:paraId="39517138">
      <w:pPr>
        <w:pStyle w:val="11"/>
        <w:widowControl/>
        <w:ind w:firstLine="480"/>
      </w:pPr>
      <w:r>
        <w:t>可单独使能或关闭某一个通道，使界面中只显示使能的通道。</w:t>
      </w:r>
    </w:p>
    <w:p w14:paraId="5F4E3DDC">
      <w:pPr>
        <w:rPr>
          <w:rFonts w:ascii="宋体" w:hAnsi="宋体" w:eastAsia="宋体" w:cs="宋体"/>
          <w:szCs w:val="24"/>
        </w:rPr>
      </w:pPr>
    </w:p>
    <w:p w14:paraId="4CA87863">
      <w:pPr>
        <w:pStyle w:val="11"/>
        <w:widowControl/>
        <w:ind w:firstLine="480"/>
      </w:pPr>
      <w:r>
        <w:t>阈值电压</w:t>
      </w:r>
    </w:p>
    <w:p w14:paraId="464C7330">
      <w:pPr>
        <w:pStyle w:val="11"/>
        <w:widowControl/>
        <w:ind w:firstLine="480"/>
      </w:pPr>
      <w:r>
        <w:t>数字信号的判定电平，高于此电压的信号会判定为高电平，反之则为低电平。阈值电压的设置范围是-1 ~ 8V，0.1V步进。设置时参考被测信号的电平标准。</w:t>
      </w:r>
    </w:p>
    <w:p w14:paraId="5D97B7E6">
      <w:pPr>
        <w:rPr>
          <w:rFonts w:ascii="宋体" w:hAnsi="宋体" w:eastAsia="宋体" w:cs="宋体"/>
          <w:szCs w:val="24"/>
        </w:rPr>
      </w:pPr>
      <w:r>
        <w:rPr>
          <w:snapToGrid/>
        </w:rPr>
        <w:drawing>
          <wp:inline distT="0" distB="0" distL="0" distR="0">
            <wp:extent cx="5544820" cy="744855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79B99">
      <w:pPr>
        <w:rPr>
          <w:rFonts w:ascii="宋体" w:hAnsi="宋体" w:eastAsia="宋体" w:cs="宋体"/>
          <w:szCs w:val="24"/>
        </w:rPr>
      </w:pPr>
      <w:r>
        <w:rPr>
          <w:snapToGrid/>
        </w:rPr>
        <w:drawing>
          <wp:inline distT="0" distB="0" distL="0" distR="0">
            <wp:extent cx="2486025" cy="13335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4D099">
      <w:pPr>
        <w:rPr>
          <w:rFonts w:ascii="宋体" w:hAnsi="宋体" w:eastAsia="宋体" w:cs="宋体"/>
          <w:szCs w:val="24"/>
        </w:rPr>
      </w:pPr>
    </w:p>
    <w:p w14:paraId="1F18F84C">
      <w:pPr>
        <w:pStyle w:val="11"/>
        <w:widowControl/>
        <w:ind w:firstLine="480"/>
      </w:pPr>
      <w:r>
        <w:t>采样时长与采样频率</w:t>
      </w:r>
    </w:p>
    <w:p w14:paraId="12FB604A">
      <w:pPr>
        <w:rPr>
          <w:rFonts w:ascii="宋体" w:hAnsi="宋体" w:eastAsia="宋体" w:cs="宋体"/>
          <w:szCs w:val="24"/>
        </w:rPr>
      </w:pPr>
      <w:r>
        <w:rPr>
          <w:snapToGrid/>
        </w:rPr>
        <w:drawing>
          <wp:inline distT="0" distB="0" distL="0" distR="0">
            <wp:extent cx="5544820" cy="788035"/>
            <wp:effectExtent l="0" t="0" r="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E6A6A">
      <w:pPr>
        <w:rPr>
          <w:rFonts w:ascii="宋体" w:hAnsi="宋体" w:eastAsia="宋体" w:cs="宋体"/>
          <w:szCs w:val="24"/>
        </w:rPr>
      </w:pPr>
    </w:p>
    <w:p w14:paraId="4CAD17EB">
      <w:pPr>
        <w:pStyle w:val="11"/>
        <w:widowControl/>
        <w:ind w:firstLine="480"/>
      </w:pPr>
      <w:r>
        <w:t>采样时长</w:t>
      </w:r>
    </w:p>
    <w:p w14:paraId="38ABF008">
      <w:pPr>
        <w:pStyle w:val="11"/>
        <w:widowControl/>
        <w:ind w:firstLine="480"/>
      </w:pPr>
      <w:r>
        <w:t>如上图所示，采样时长下拉框中显示的值表示采集的时间长度。点击下拉框，会弹出当前采样率下对应的所有采集时长选项。</w:t>
      </w:r>
    </w:p>
    <w:p w14:paraId="656144EC"/>
    <w:p w14:paraId="7CE77D96">
      <w:pPr>
        <w:pStyle w:val="11"/>
        <w:widowControl/>
        <w:ind w:firstLine="480"/>
      </w:pPr>
      <w:r>
        <w:t>采样频率</w:t>
      </w:r>
    </w:p>
    <w:p w14:paraId="7EB2033F">
      <w:pPr>
        <w:pStyle w:val="11"/>
        <w:widowControl/>
        <w:ind w:firstLine="480"/>
      </w:pPr>
      <w:r>
        <w:t>如上图所示，采样频率表示每个通道的采样频率，通常采样频率需要设置为被测信号最高频率的5~10倍。</w:t>
      </w:r>
    </w:p>
    <w:p w14:paraId="1DB8E413">
      <w:pPr>
        <w:pStyle w:val="3"/>
        <w:numPr>
          <w:ilvl w:val="0"/>
          <w:numId w:val="4"/>
        </w:numPr>
        <w:rPr>
          <w:rFonts w:ascii="黑体" w:hAnsi="黑体" w:cs="黑体"/>
        </w:rPr>
      </w:pPr>
      <w:bookmarkStart w:id="13" w:name="_Toc23439"/>
      <w:r>
        <w:t>触发设置</w:t>
      </w:r>
      <w:bookmarkEnd w:id="13"/>
    </w:p>
    <w:p w14:paraId="22A64453">
      <w:r>
        <w:rPr>
          <w:snapToGrid/>
        </w:rPr>
        <w:drawing>
          <wp:inline distT="0" distB="0" distL="0" distR="0">
            <wp:extent cx="5274310" cy="281876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B2B09">
      <w:pPr>
        <w:pStyle w:val="11"/>
        <w:widowControl/>
        <w:ind w:firstLine="480"/>
      </w:pPr>
      <w:r>
        <w:t>触发可以帮助我们捕获想要观察的特定时刻的信号。触发位置可以设定触发点在整个采样时间中的位置百分比，如上图所示，点击触发选项会弹出对话框，在编辑栏中输入触发位置的值（百分比），也可以拖动滑动条进行设置。触发条件区域可设置每个通道的触发条件：上升沿触发、高电平触发、下降沿触发、低电平触发、边沿触发。</w:t>
      </w:r>
    </w:p>
    <w:p w14:paraId="6ECD2BD9"/>
    <w:p w14:paraId="663A8D22">
      <w:pPr>
        <w:pStyle w:val="3"/>
        <w:widowControl/>
        <w:numPr>
          <w:ilvl w:val="0"/>
          <w:numId w:val="4"/>
        </w:numPr>
        <w:rPr>
          <w:rFonts w:ascii="黑体" w:hAnsi="黑体" w:cs="黑体"/>
        </w:rPr>
      </w:pPr>
      <w:bookmarkStart w:id="14" w:name="_Toc3962"/>
      <w:r>
        <w:t>波形捕获</w:t>
      </w:r>
      <w:bookmarkEnd w:id="14"/>
    </w:p>
    <w:p w14:paraId="61CE9523">
      <w:pPr>
        <w:pStyle w:val="11"/>
        <w:widowControl/>
        <w:ind w:firstLine="480"/>
      </w:pPr>
      <w:r>
        <w:t>在设置完采集相关的参数后（设备选项，采样时长，采样频率以及触发设置等），就可以开始波形捕获了，正常捕获过程如下：</w:t>
      </w:r>
    </w:p>
    <w:p w14:paraId="1671C0BD">
      <w:pPr>
        <w:pStyle w:val="11"/>
        <w:widowControl/>
        <w:numPr>
          <w:ilvl w:val="0"/>
          <w:numId w:val="5"/>
        </w:numPr>
        <w:ind w:firstLineChars="0"/>
      </w:pPr>
      <w:r>
        <w:t>用户点击“开始”按钮或按下快捷键“S ”启动捕获</w:t>
      </w:r>
    </w:p>
    <w:p w14:paraId="736D7FFB">
      <w:pPr>
        <w:pStyle w:val="11"/>
        <w:widowControl/>
        <w:numPr>
          <w:ilvl w:val="0"/>
          <w:numId w:val="5"/>
        </w:numPr>
        <w:ind w:firstLineChars="0"/>
      </w:pPr>
      <w:r>
        <w:t>BusView 把设定的采样参数传输给逻辑分析仪的硬件</w:t>
      </w:r>
    </w:p>
    <w:p w14:paraId="658BC672">
      <w:pPr>
        <w:pStyle w:val="11"/>
        <w:widowControl/>
        <w:numPr>
          <w:ilvl w:val="0"/>
          <w:numId w:val="5"/>
        </w:numPr>
        <w:ind w:firstLineChars="0"/>
      </w:pPr>
      <w:r>
        <w:t>BusView 发送开始采集的命令，并等待数据传回</w:t>
      </w:r>
    </w:p>
    <w:p w14:paraId="7BE66ED2">
      <w:pPr>
        <w:pStyle w:val="11"/>
        <w:widowControl/>
        <w:numPr>
          <w:ilvl w:val="0"/>
          <w:numId w:val="5"/>
        </w:numPr>
        <w:ind w:firstLineChars="0"/>
      </w:pPr>
      <w:r>
        <w:t>如无触发条件，逻辑分析仪立即开始采样</w:t>
      </w:r>
    </w:p>
    <w:p w14:paraId="3C3CE8FC">
      <w:pPr>
        <w:pStyle w:val="11"/>
        <w:widowControl/>
        <w:numPr>
          <w:ilvl w:val="0"/>
          <w:numId w:val="5"/>
        </w:numPr>
        <w:ind w:firstLineChars="0"/>
      </w:pPr>
      <w:r>
        <w:t>如有触发条件，逻辑分析仪等待满足触发条件的波形</w:t>
      </w:r>
    </w:p>
    <w:p w14:paraId="4EA22604">
      <w:pPr>
        <w:pStyle w:val="11"/>
        <w:widowControl/>
        <w:numPr>
          <w:ilvl w:val="0"/>
          <w:numId w:val="5"/>
        </w:numPr>
        <w:ind w:firstLineChars="0"/>
      </w:pPr>
      <w:r>
        <w:t>触发后，当采集时长等于设定值</w:t>
      </w:r>
    </w:p>
    <w:p w14:paraId="7C1E1C4C">
      <w:pPr>
        <w:pStyle w:val="11"/>
        <w:widowControl/>
        <w:numPr>
          <w:ilvl w:val="0"/>
          <w:numId w:val="5"/>
        </w:numPr>
        <w:ind w:firstLineChars="0"/>
      </w:pPr>
      <w:r>
        <w:t>BusView 接收回传的采集数据</w:t>
      </w:r>
    </w:p>
    <w:p w14:paraId="1B0AE0CF">
      <w:pPr>
        <w:pStyle w:val="11"/>
        <w:widowControl/>
        <w:numPr>
          <w:ilvl w:val="0"/>
          <w:numId w:val="5"/>
        </w:numPr>
        <w:ind w:firstLineChars="0"/>
      </w:pPr>
      <w:r>
        <w:t>数据传输完成后，BusView 结束当前采样，并把波形渲染到显示窗口</w:t>
      </w:r>
    </w:p>
    <w:p w14:paraId="275E34F5"/>
    <w:p w14:paraId="535B7BB2"/>
    <w:p w14:paraId="5FCD1C7C"/>
    <w:p w14:paraId="217CC4B3"/>
    <w:p w14:paraId="0F410F5D"/>
    <w:p w14:paraId="3FB2D61F"/>
    <w:p w14:paraId="66D4D9C0">
      <w:pPr>
        <w:pStyle w:val="3"/>
        <w:widowControl/>
        <w:numPr>
          <w:ilvl w:val="0"/>
          <w:numId w:val="4"/>
        </w:numPr>
        <w:rPr>
          <w:rFonts w:ascii="黑体" w:hAnsi="黑体" w:cs="黑体"/>
        </w:rPr>
      </w:pPr>
      <w:bookmarkStart w:id="15" w:name="_Toc31396"/>
      <w:r>
        <w:t>采集模式</w:t>
      </w:r>
      <w:bookmarkEnd w:id="15"/>
    </w:p>
    <w:p w14:paraId="0B22F7A6">
      <w:r>
        <w:rPr>
          <w:snapToGrid/>
        </w:rPr>
        <w:drawing>
          <wp:inline distT="0" distB="0" distL="0" distR="0">
            <wp:extent cx="5274310" cy="281686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29CE4">
      <w:pPr>
        <w:pStyle w:val="11"/>
        <w:widowControl/>
        <w:ind w:firstLine="480"/>
      </w:pPr>
      <w:r>
        <w:t>目前BusView只有Buffer模式下的单次采集模式。在这个模式下，采集操作只会被执行一次。当采样时长达到时将停止采集，并将采集的波形数据上传至主界面显示。</w:t>
      </w:r>
    </w:p>
    <w:p w14:paraId="384B6F40">
      <w:pPr>
        <w:pStyle w:val="3"/>
        <w:widowControl/>
        <w:numPr>
          <w:ilvl w:val="0"/>
          <w:numId w:val="4"/>
        </w:numPr>
        <w:rPr>
          <w:rFonts w:ascii="黑体" w:hAnsi="黑体" w:cs="黑体"/>
        </w:rPr>
      </w:pPr>
      <w:bookmarkStart w:id="16" w:name="_Toc19601"/>
      <w:r>
        <w:t>波形查看</w:t>
      </w:r>
      <w:bookmarkEnd w:id="16"/>
    </w:p>
    <w:p w14:paraId="51A163A7">
      <w:r>
        <w:rPr>
          <w:snapToGrid/>
        </w:rPr>
        <w:drawing>
          <wp:inline distT="0" distB="0" distL="0" distR="0">
            <wp:extent cx="5274310" cy="296799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BCDCB">
      <w:pPr>
        <w:pStyle w:val="11"/>
        <w:widowControl/>
        <w:ind w:firstLine="480"/>
      </w:pPr>
      <w:r>
        <w:t>如上图所示，捕获到的数据会以图形的方式显示在数据窗口中。</w:t>
      </w:r>
    </w:p>
    <w:p w14:paraId="5AEB0EF9"/>
    <w:p w14:paraId="73AF94BD">
      <w:pPr>
        <w:pStyle w:val="3"/>
        <w:widowControl/>
        <w:numPr>
          <w:ilvl w:val="0"/>
          <w:numId w:val="4"/>
        </w:numPr>
        <w:rPr>
          <w:rFonts w:ascii="黑体" w:hAnsi="黑体" w:cs="黑体"/>
        </w:rPr>
      </w:pPr>
      <w:bookmarkStart w:id="17" w:name="_Toc25595"/>
      <w:r>
        <w:t>波形拖动与缩放</w:t>
      </w:r>
      <w:bookmarkEnd w:id="17"/>
    </w:p>
    <w:p w14:paraId="5CDDE424">
      <w:r>
        <w:rPr>
          <w:snapToGrid/>
        </w:rPr>
        <w:drawing>
          <wp:inline distT="0" distB="0" distL="0" distR="0">
            <wp:extent cx="5274310" cy="31902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CF4E8">
      <w:pPr>
        <w:pStyle w:val="11"/>
        <w:widowControl/>
        <w:ind w:firstLine="480"/>
      </w:pPr>
      <w:r>
        <w:t>小范围拖动：在波形窗口内（上图波形绘制区域内），按住鼠标左键即可左右拖动波形。</w:t>
      </w:r>
    </w:p>
    <w:p w14:paraId="5B598AEA">
      <w:pPr>
        <w:pStyle w:val="11"/>
        <w:widowControl/>
        <w:ind w:firstLine="480"/>
      </w:pPr>
      <w:r>
        <w:t>大范围拖动：如上图所示，直接拖动页面底部滚动条，即可左右拖动波形。</w:t>
      </w:r>
    </w:p>
    <w:p w14:paraId="5E5EB727">
      <w:pPr>
        <w:pStyle w:val="11"/>
        <w:widowControl/>
        <w:ind w:firstLine="480"/>
      </w:pPr>
      <w:r>
        <w:t>快捷键拖动：按下快捷键“Page Up”或“Page Down”可左/右拖动波形。</w:t>
      </w:r>
    </w:p>
    <w:p w14:paraId="2A26CB2D">
      <w:pPr>
        <w:pStyle w:val="11"/>
        <w:widowControl/>
        <w:ind w:firstLine="480"/>
      </w:pPr>
      <w:r>
        <w:t>滚轮缩放：在波形窗口内，滚动鼠标滚轮可对波形进行缩小和放大。</w:t>
      </w:r>
    </w:p>
    <w:p w14:paraId="7FBBFAB0">
      <w:pPr>
        <w:pStyle w:val="11"/>
        <w:widowControl/>
        <w:ind w:firstLine="480"/>
      </w:pPr>
      <w:r>
        <w:t>窗口缩放：在波形窗口内，按住右键，并移动鼠标，将显示一个矩形区域，松开即可放大选中区域到全窗口显示。</w:t>
      </w:r>
    </w:p>
    <w:p w14:paraId="4198EF82"/>
    <w:p w14:paraId="498D91CA">
      <w:pPr>
        <w:pStyle w:val="3"/>
        <w:widowControl/>
        <w:numPr>
          <w:ilvl w:val="0"/>
          <w:numId w:val="4"/>
        </w:numPr>
        <w:rPr>
          <w:rFonts w:ascii="黑体" w:hAnsi="黑体" w:cs="黑体"/>
        </w:rPr>
      </w:pPr>
      <w:bookmarkStart w:id="18" w:name="_Toc24545"/>
      <w:r>
        <w:t>波形搜索</w:t>
      </w:r>
      <w:bookmarkEnd w:id="18"/>
    </w:p>
    <w:p w14:paraId="288D2A2B">
      <w:r>
        <w:rPr>
          <w:snapToGrid/>
        </w:rPr>
        <w:drawing>
          <wp:inline distT="0" distB="0" distL="0" distR="0">
            <wp:extent cx="5274310" cy="3191510"/>
            <wp:effectExtent l="0" t="0" r="254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56246">
      <w:pPr>
        <w:pStyle w:val="11"/>
        <w:widowControl/>
        <w:ind w:firstLine="480"/>
      </w:pPr>
      <w:r>
        <w:t>如上图所示，单机搜索按钮或按下快捷键R，页面下方会显示搜索框。单击搜索框弹出搜索设置窗口，在此窗口中设置搜索条件后点击确定，之后可通过搜索框两侧的左右按钮搜索目标。</w:t>
      </w:r>
    </w:p>
    <w:p w14:paraId="64C94ED4"/>
    <w:p w14:paraId="4FB9F8EF">
      <w:pPr>
        <w:pStyle w:val="3"/>
        <w:widowControl/>
        <w:numPr>
          <w:ilvl w:val="0"/>
          <w:numId w:val="4"/>
        </w:numPr>
        <w:rPr>
          <w:rFonts w:ascii="黑体" w:hAnsi="黑体" w:cs="黑体"/>
        </w:rPr>
      </w:pPr>
      <w:bookmarkStart w:id="19" w:name="_Toc10418"/>
      <w:r>
        <w:t>通道设置</w:t>
      </w:r>
      <w:bookmarkEnd w:id="19"/>
    </w:p>
    <w:p w14:paraId="5ADF6FFD">
      <w:pPr>
        <w:pStyle w:val="11"/>
        <w:widowControl/>
        <w:ind w:firstLine="480"/>
      </w:pPr>
      <w:r>
        <w:t>通道颜色/通道名称</w:t>
      </w:r>
    </w:p>
    <w:p w14:paraId="572982CC">
      <w:r>
        <w:rPr>
          <w:snapToGrid/>
        </w:rPr>
        <w:drawing>
          <wp:inline distT="0" distB="0" distL="0" distR="0">
            <wp:extent cx="3800475" cy="13335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1430C">
      <w:pPr>
        <w:pStyle w:val="11"/>
        <w:widowControl/>
        <w:ind w:firstLine="480"/>
      </w:pPr>
      <w:r>
        <w:t>通道顺序</w:t>
      </w:r>
    </w:p>
    <w:p w14:paraId="14C54CEB">
      <w:pPr>
        <w:pStyle w:val="11"/>
        <w:widowControl/>
        <w:ind w:firstLine="480"/>
      </w:pPr>
      <w:r>
        <w:t>移动鼠标到通道序号标签之上，会出现一个箭头的标志，这时有三种方法可以移动通道。</w:t>
      </w:r>
    </w:p>
    <w:p w14:paraId="1E004A6F">
      <w:pPr>
        <w:pStyle w:val="11"/>
        <w:widowControl/>
        <w:ind w:firstLine="480"/>
      </w:pPr>
      <w:r>
        <w:t>方法 1：按住鼠标左键，然后拖动鼠标，通道会跟随鼠标移动，到目标位置后，释放鼠标左键即可。</w:t>
      </w:r>
    </w:p>
    <w:p w14:paraId="4DB6C8E4">
      <w:pPr>
        <w:pStyle w:val="11"/>
        <w:widowControl/>
        <w:ind w:firstLine="480"/>
      </w:pPr>
      <w:r>
        <w:t>方法 2：单击鼠标左键，选定要移动的通道；然后移动鼠标，通道会跟随鼠标移动，到达目标位置后，再次单击鼠标左键释放通道即可。</w:t>
      </w:r>
    </w:p>
    <w:p w14:paraId="09738F69">
      <w:pPr>
        <w:pStyle w:val="11"/>
        <w:widowControl/>
        <w:ind w:firstLine="480"/>
      </w:pPr>
      <w:r>
        <w:t>方法 3：按住快捷键“Ctrl”，选定要移动的多个通道；然后移动鼠标，通道会跟随鼠标移动，到达目标位置后，再次单击鼠标左键释放通道即可。</w:t>
      </w:r>
    </w:p>
    <w:p w14:paraId="379AAE11">
      <w:r>
        <w:rPr>
          <w:snapToGrid/>
        </w:rPr>
        <w:drawing>
          <wp:inline distT="0" distB="0" distL="0" distR="0">
            <wp:extent cx="4276725" cy="14763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C0887"/>
    <w:p w14:paraId="03A91AF0">
      <w:pPr>
        <w:pStyle w:val="3"/>
        <w:widowControl/>
        <w:numPr>
          <w:ilvl w:val="0"/>
          <w:numId w:val="4"/>
        </w:numPr>
        <w:rPr>
          <w:rFonts w:ascii="黑体" w:hAnsi="黑体" w:cs="黑体"/>
        </w:rPr>
      </w:pPr>
      <w:bookmarkStart w:id="20" w:name="_Toc20451"/>
      <w:r>
        <w:t>波形测量</w:t>
      </w:r>
      <w:bookmarkEnd w:id="20"/>
    </w:p>
    <w:p w14:paraId="349FF68A"/>
    <w:p w14:paraId="30A819EE">
      <w:pPr>
        <w:pStyle w:val="11"/>
        <w:widowControl/>
        <w:ind w:firstLine="480"/>
      </w:pPr>
      <w:r>
        <w:t>BusView提供丰富的测量选项，主要通过鼠标定位和插入光标的方式来实现。通过简单的移动鼠标到待测波形区域即可测量相应波形的脉宽，频率，周期，占空比以及边沿计数；同时，BusView支持任意个数的光标插入，实现波形测量，定位和跳转等需求。</w:t>
      </w:r>
    </w:p>
    <w:p w14:paraId="701D42C5"/>
    <w:p w14:paraId="291A1B49"/>
    <w:p w14:paraId="65E6F276">
      <w:pPr>
        <w:pStyle w:val="3"/>
        <w:widowControl/>
        <w:numPr>
          <w:ilvl w:val="0"/>
          <w:numId w:val="4"/>
        </w:numPr>
        <w:rPr>
          <w:rFonts w:ascii="黑体" w:hAnsi="黑体" w:cs="黑体"/>
        </w:rPr>
      </w:pPr>
      <w:bookmarkStart w:id="21" w:name="_Toc28629"/>
      <w:r>
        <w:t>脉宽/频率测量</w:t>
      </w:r>
      <w:bookmarkEnd w:id="21"/>
    </w:p>
    <w:p w14:paraId="4900E7C0">
      <w:pPr>
        <w:pStyle w:val="11"/>
        <w:widowControl/>
        <w:ind w:firstLine="480"/>
      </w:pPr>
      <w:r>
        <w:t>当数据窗口已显示捕获的波形后，将鼠标移动到任意通道的脉冲位置，即可显示当前脉冲的宽度，以及和随后的脉冲组成的信号频率，周期和占空比等数据。实际测量效果如下图</w:t>
      </w:r>
    </w:p>
    <w:p w14:paraId="71CCA6CB">
      <w:r>
        <w:rPr>
          <w:snapToGrid/>
        </w:rPr>
        <w:drawing>
          <wp:inline distT="0" distB="0" distL="0" distR="0">
            <wp:extent cx="5274310" cy="1541780"/>
            <wp:effectExtent l="0" t="0" r="254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A320D"/>
    <w:p w14:paraId="108B2A2F">
      <w:pPr>
        <w:pStyle w:val="3"/>
        <w:widowControl/>
        <w:numPr>
          <w:ilvl w:val="0"/>
          <w:numId w:val="4"/>
        </w:numPr>
        <w:rPr>
          <w:rFonts w:ascii="黑体" w:hAnsi="黑体" w:cs="黑体"/>
        </w:rPr>
      </w:pPr>
      <w:bookmarkStart w:id="22" w:name="_Toc16418"/>
      <w:r>
        <w:t>脉冲计数</w:t>
      </w:r>
      <w:bookmarkEnd w:id="22"/>
    </w:p>
    <w:p w14:paraId="4542C7EC"/>
    <w:p w14:paraId="4BF6D868">
      <w:pPr>
        <w:pStyle w:val="11"/>
        <w:widowControl/>
        <w:ind w:firstLine="480"/>
      </w:pPr>
      <w:r>
        <w:t>如下图所示，通过鼠标操作还可以统计任意通道在任意时间段内的边沿个数，具体操作如下所示：</w:t>
      </w:r>
    </w:p>
    <w:p w14:paraId="225DC5EB">
      <w:pPr>
        <w:pStyle w:val="11"/>
        <w:widowControl/>
        <w:numPr>
          <w:ilvl w:val="0"/>
          <w:numId w:val="6"/>
        </w:numPr>
        <w:ind w:firstLineChars="0"/>
      </w:pPr>
      <w:r>
        <w:t>移动鼠标到待测通道波形区间内（通道高电平和低电平之间）</w:t>
      </w:r>
    </w:p>
    <w:p w14:paraId="66F90150">
      <w:pPr>
        <w:pStyle w:val="11"/>
        <w:widowControl/>
        <w:numPr>
          <w:ilvl w:val="0"/>
          <w:numId w:val="6"/>
        </w:numPr>
        <w:ind w:firstLineChars="0"/>
      </w:pPr>
      <w:r>
        <w:t>移动鼠标到待测的起始位置</w:t>
      </w:r>
    </w:p>
    <w:p w14:paraId="0CFB8414">
      <w:pPr>
        <w:pStyle w:val="11"/>
        <w:widowControl/>
        <w:numPr>
          <w:ilvl w:val="0"/>
          <w:numId w:val="6"/>
        </w:numPr>
        <w:ind w:firstLineChars="0"/>
      </w:pPr>
      <w:r>
        <w:t>单击鼠标左键，然后移动鼠标到待测结束位置，此过程会动态的显示当前通道在测试范围内的跳变沿，上升沿以及下降沿的个数</w:t>
      </w:r>
    </w:p>
    <w:p w14:paraId="0D1EFC3E">
      <w:pPr>
        <w:pStyle w:val="11"/>
        <w:widowControl/>
        <w:numPr>
          <w:ilvl w:val="0"/>
          <w:numId w:val="6"/>
        </w:numPr>
        <w:ind w:firstLineChars="0"/>
      </w:pPr>
      <w:r>
        <w:t>再次单击鼠标左键完成测量</w:t>
      </w:r>
    </w:p>
    <w:p w14:paraId="40E4C8B7">
      <w:r>
        <w:rPr>
          <w:snapToGrid/>
        </w:rPr>
        <w:drawing>
          <wp:inline distT="0" distB="0" distL="0" distR="0">
            <wp:extent cx="5274310" cy="127635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B6D52">
      <w:pPr>
        <w:pStyle w:val="3"/>
        <w:widowControl/>
        <w:numPr>
          <w:ilvl w:val="0"/>
          <w:numId w:val="4"/>
        </w:numPr>
        <w:rPr>
          <w:rFonts w:ascii="黑体" w:hAnsi="黑体" w:cs="黑体"/>
        </w:rPr>
      </w:pPr>
      <w:bookmarkStart w:id="23" w:name="_Toc11458"/>
      <w:r>
        <w:t>跳变沿距离</w:t>
      </w:r>
      <w:bookmarkEnd w:id="23"/>
    </w:p>
    <w:p w14:paraId="7C4263C9"/>
    <w:p w14:paraId="5F65BF24">
      <w:pPr>
        <w:pStyle w:val="11"/>
        <w:widowControl/>
        <w:ind w:firstLine="480"/>
      </w:pPr>
      <w:r>
        <w:t>如下图所示，通过鼠标操作可以测量任意两个跳变沿的距离，具体操作如下所示：</w:t>
      </w:r>
    </w:p>
    <w:p w14:paraId="60025A5C">
      <w:pPr>
        <w:pStyle w:val="11"/>
        <w:widowControl/>
        <w:numPr>
          <w:ilvl w:val="0"/>
          <w:numId w:val="7"/>
        </w:numPr>
        <w:ind w:firstLineChars="0"/>
      </w:pPr>
      <w:r>
        <w:t>移动鼠标到起始跳变沿的位置，单击鼠标左键，选中起始跳变沿</w:t>
      </w:r>
    </w:p>
    <w:p w14:paraId="190E9992">
      <w:pPr>
        <w:pStyle w:val="11"/>
        <w:widowControl/>
        <w:numPr>
          <w:ilvl w:val="0"/>
          <w:numId w:val="7"/>
        </w:numPr>
        <w:ind w:firstLineChars="0"/>
      </w:pPr>
      <w:r>
        <w:t>移动鼠标到结束跳变沿的位置，两个跳变沿之间的距离会显示出来（时长/采样间隔点）</w:t>
      </w:r>
    </w:p>
    <w:p w14:paraId="078E0858">
      <w:pPr>
        <w:pStyle w:val="11"/>
        <w:widowControl/>
        <w:numPr>
          <w:ilvl w:val="0"/>
          <w:numId w:val="7"/>
        </w:numPr>
        <w:ind w:firstLineChars="0"/>
      </w:pPr>
      <w:r>
        <w:t>单击鼠标左键完成测量</w:t>
      </w:r>
    </w:p>
    <w:p w14:paraId="2E8C59C7">
      <w:r>
        <w:rPr>
          <w:snapToGrid/>
        </w:rPr>
        <w:drawing>
          <wp:inline distT="0" distB="0" distL="0" distR="0">
            <wp:extent cx="5274310" cy="1271905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394E9">
      <w:pPr>
        <w:pStyle w:val="3"/>
        <w:widowControl/>
        <w:numPr>
          <w:ilvl w:val="0"/>
          <w:numId w:val="4"/>
        </w:numPr>
        <w:rPr>
          <w:rFonts w:ascii="黑体" w:hAnsi="黑体" w:cs="黑体"/>
        </w:rPr>
      </w:pPr>
      <w:bookmarkStart w:id="24" w:name="_Toc17531"/>
      <w:r>
        <w:t>光标插入</w:t>
      </w:r>
      <w:bookmarkEnd w:id="24"/>
    </w:p>
    <w:p w14:paraId="64B3BFC9">
      <w:pPr>
        <w:pStyle w:val="11"/>
        <w:spacing w:line="309" w:lineRule="auto"/>
        <w:ind w:firstLine="480"/>
      </w:pPr>
    </w:p>
    <w:p w14:paraId="0BA239FB">
      <w:pPr>
        <w:pStyle w:val="11"/>
        <w:widowControl/>
        <w:ind w:firstLine="482"/>
      </w:pPr>
      <w:r>
        <w:rPr>
          <w:b/>
        </w:rPr>
        <w:t>方法</w:t>
      </w:r>
      <w:r>
        <w:t xml:space="preserve"> </w:t>
      </w:r>
      <w:r>
        <w:rPr>
          <w:b/>
        </w:rPr>
        <w:t>1 ：</w:t>
      </w:r>
      <w:r>
        <w:t>在数据窗口中，移动鼠标到任意想要插入光标的位置，双击鼠标左键，即可插入新的光标。</w: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1934845</wp:posOffset>
                </wp:positionH>
                <wp:positionV relativeFrom="paragraph">
                  <wp:posOffset>95885</wp:posOffset>
                </wp:positionV>
                <wp:extent cx="985520" cy="177800"/>
                <wp:effectExtent l="1270" t="635" r="3810" b="254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5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DF0887">
                            <w:pPr>
                              <w:spacing w:before="19" w:line="185" w:lineRule="auto"/>
                              <w:ind w:left="20"/>
                              <w:rPr>
                                <w:rFonts w:ascii="宋体" w:hAnsi="宋体" w:eastAsia="宋体" w:cs="宋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2.35pt;margin-top:7.55pt;height:14pt;width:77.6pt;z-index:251660288;mso-width-relative:page;mso-height-relative:page;" filled="f" stroked="f" coordsize="21600,21600" o:gfxdata="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JLn+CfYAAAACQEAAA8AAAAAAAAAAQAg&#10;AAAAIgAAAGRycy9kb3ducmV2LnhtbFBLAQIUABQAAAAIAIdO4kC3bF3eDgIAAAYEAAAOAAAAAAAA&#10;AAEAIAAAACcBAABkcnMvZTJvRG9jLnhtbFBLBQYAAAAABgAGAFkBAAC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57DF0887">
                      <w:pPr>
                        <w:spacing w:before="19" w:line="185" w:lineRule="auto"/>
                        <w:ind w:left="20"/>
                        <w:rPr>
                          <w:rFonts w:ascii="宋体" w:hAnsi="宋体" w:eastAsia="宋体" w:cs="宋体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F5B30D">
      <w:pPr>
        <w:pStyle w:val="11"/>
        <w:widowControl/>
        <w:ind w:firstLine="482"/>
      </w:pPr>
      <w:r>
        <w:rPr>
          <w:b/>
        </w:rPr>
        <w:t>方法</w:t>
      </w:r>
      <w:r>
        <w:t xml:space="preserve"> </w:t>
      </w:r>
      <w:r>
        <w:rPr>
          <w:b/>
        </w:rPr>
        <w:t>2 ：</w:t>
      </w:r>
      <w:r>
        <w:t>在时间标尺上，移动鼠标到任意想要插入光标的位置，单击鼠标左键，出现一个向下的箭头区域，在此区域内再次单击鼠标左键，即可插入新的光标。</w:t>
      </w:r>
    </w:p>
    <w:p w14:paraId="36713CD7">
      <w:pPr>
        <w:spacing w:before="21"/>
        <w:ind w:right="109"/>
        <w:rPr>
          <w:rFonts w:ascii="宋体" w:hAnsi="宋体" w:eastAsia="宋体" w:cs="宋体"/>
          <w:szCs w:val="24"/>
        </w:rPr>
      </w:pPr>
      <w:r>
        <w:rPr>
          <w:snapToGrid/>
        </w:rPr>
        <w:drawing>
          <wp:inline distT="0" distB="0" distL="0" distR="0">
            <wp:extent cx="4739640" cy="972185"/>
            <wp:effectExtent l="0" t="0" r="381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45267" cy="99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5B728">
      <w:pPr>
        <w:pStyle w:val="3"/>
        <w:widowControl/>
        <w:numPr>
          <w:ilvl w:val="0"/>
          <w:numId w:val="4"/>
        </w:numPr>
        <w:rPr>
          <w:rFonts w:ascii="黑体" w:hAnsi="黑体" w:cs="黑体"/>
        </w:rPr>
      </w:pPr>
      <w:bookmarkStart w:id="25" w:name="_Toc16887"/>
      <w:r>
        <w:t>光标移动</w:t>
      </w:r>
      <w:bookmarkEnd w:id="25"/>
    </w:p>
    <w:p w14:paraId="4DFFB69C">
      <w:pPr>
        <w:spacing w:before="21" w:line="243" w:lineRule="auto"/>
        <w:ind w:right="109"/>
        <w:rPr>
          <w:rFonts w:ascii="宋体" w:hAnsi="宋体" w:eastAsia="宋体" w:cs="宋体"/>
          <w:szCs w:val="24"/>
        </w:rPr>
      </w:pPr>
    </w:p>
    <w:p w14:paraId="4478EBA1">
      <w:pPr>
        <w:pStyle w:val="11"/>
        <w:widowControl/>
        <w:ind w:firstLine="480"/>
      </w:pPr>
      <w:r>
        <w:t>方法 1 ：移动鼠标到光标位置，当光标出现加粗显示时，单击鼠标左键选中需要移动的光标，此时光标即可跟随鼠标移动。当希望光标吸附到特定通道波形的某一个跳边沿时，只需要移动鼠标靠近此跳变沿，在一定范围内，光标会自动吸附到此跳边沿位置。</w:t>
      </w:r>
    </w:p>
    <w:p w14:paraId="606504E1">
      <w:pPr>
        <w:spacing w:before="21"/>
        <w:ind w:right="109"/>
        <w:rPr>
          <w:rFonts w:ascii="宋体" w:hAnsi="宋体" w:eastAsia="宋体" w:cs="宋体"/>
          <w:szCs w:val="24"/>
        </w:rPr>
      </w:pPr>
      <w:r>
        <w:rPr>
          <w:snapToGrid/>
        </w:rPr>
        <w:drawing>
          <wp:inline distT="0" distB="0" distL="0" distR="0">
            <wp:extent cx="5274310" cy="2816225"/>
            <wp:effectExtent l="0" t="0" r="2540" b="317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6B2C4">
      <w:pPr>
        <w:spacing w:before="21" w:line="243" w:lineRule="auto"/>
        <w:ind w:right="109"/>
        <w:rPr>
          <w:rFonts w:ascii="宋体" w:hAnsi="宋体" w:eastAsia="宋体" w:cs="宋体"/>
          <w:szCs w:val="24"/>
        </w:rPr>
      </w:pPr>
    </w:p>
    <w:p w14:paraId="7258B17F">
      <w:pPr>
        <w:pStyle w:val="11"/>
        <w:widowControl/>
        <w:ind w:firstLine="480"/>
      </w:pPr>
      <w:r>
        <w:t>方法 2 ：如下图所示，移动鼠标到任意位置，单击鼠标左键，会出现所有已经存在的光标编号，单击任意编号即可将此编号的光标移动到箭头所指的位置。</w:t>
      </w:r>
    </w:p>
    <w:p w14:paraId="741F126E">
      <w:pPr>
        <w:spacing w:before="21"/>
        <w:ind w:right="109"/>
        <w:rPr>
          <w:rFonts w:ascii="宋体" w:hAnsi="宋体" w:eastAsia="宋体" w:cs="宋体"/>
          <w:szCs w:val="24"/>
        </w:rPr>
      </w:pPr>
      <w:r>
        <w:rPr>
          <w:snapToGrid/>
        </w:rPr>
        <w:drawing>
          <wp:inline distT="0" distB="0" distL="0" distR="0">
            <wp:extent cx="5274310" cy="297180"/>
            <wp:effectExtent l="0" t="0" r="2540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3258B">
      <w:pPr>
        <w:spacing w:before="21" w:line="243" w:lineRule="auto"/>
        <w:ind w:right="109"/>
        <w:rPr>
          <w:rFonts w:ascii="宋体" w:hAnsi="宋体" w:eastAsia="宋体" w:cs="宋体"/>
          <w:szCs w:val="24"/>
        </w:rPr>
      </w:pPr>
    </w:p>
    <w:p w14:paraId="4D3085C6">
      <w:pPr>
        <w:pStyle w:val="3"/>
        <w:widowControl/>
        <w:numPr>
          <w:ilvl w:val="0"/>
          <w:numId w:val="4"/>
        </w:numPr>
        <w:rPr>
          <w:rFonts w:ascii="黑体" w:hAnsi="黑体" w:cs="黑体"/>
        </w:rPr>
      </w:pPr>
      <w:bookmarkStart w:id="26" w:name="_Toc9024"/>
      <w:r>
        <w:t>光标跳转</w:t>
      </w:r>
      <w:bookmarkEnd w:id="26"/>
    </w:p>
    <w:p w14:paraId="4153037D">
      <w:pPr>
        <w:spacing w:before="21" w:line="243" w:lineRule="auto"/>
        <w:ind w:right="109"/>
        <w:rPr>
          <w:rFonts w:ascii="宋体" w:hAnsi="宋体" w:eastAsia="宋体" w:cs="宋体"/>
          <w:szCs w:val="24"/>
        </w:rPr>
      </w:pPr>
    </w:p>
    <w:p w14:paraId="22702218">
      <w:pPr>
        <w:pStyle w:val="11"/>
        <w:widowControl/>
        <w:ind w:firstLine="480"/>
      </w:pPr>
      <w:r>
        <w:t>光标可以帮助我们标记重要的位置，以便随时查看。以下操作可以在光标位置间任意跳转。在时间标尺的任意位置，点击鼠标右键，会出现所有已经存在的光标编号，单击任意编号即可到达此光标所在位置。</w:t>
      </w:r>
    </w:p>
    <w:p w14:paraId="797F0001">
      <w:pPr>
        <w:spacing w:before="21"/>
        <w:ind w:right="109"/>
        <w:rPr>
          <w:rFonts w:ascii="宋体" w:hAnsi="宋体" w:eastAsia="宋体" w:cs="宋体"/>
          <w:szCs w:val="24"/>
        </w:rPr>
      </w:pPr>
      <w:r>
        <w:rPr>
          <w:snapToGrid/>
        </w:rPr>
        <w:drawing>
          <wp:inline distT="0" distB="0" distL="0" distR="0">
            <wp:extent cx="5274310" cy="301625"/>
            <wp:effectExtent l="0" t="0" r="2540" b="317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94914">
      <w:pPr>
        <w:pStyle w:val="3"/>
        <w:widowControl/>
        <w:numPr>
          <w:ilvl w:val="0"/>
          <w:numId w:val="4"/>
        </w:numPr>
        <w:rPr>
          <w:rFonts w:ascii="黑体" w:hAnsi="黑体" w:cs="黑体"/>
        </w:rPr>
      </w:pPr>
      <w:bookmarkStart w:id="27" w:name="_Toc15131"/>
      <w:r>
        <w:t>协议解码</w:t>
      </w:r>
      <w:bookmarkEnd w:id="27"/>
    </w:p>
    <w:p w14:paraId="58BF02F7">
      <w:pPr>
        <w:spacing w:before="21"/>
        <w:ind w:right="109"/>
        <w:rPr>
          <w:rFonts w:ascii="宋体" w:hAnsi="宋体" w:eastAsia="宋体" w:cs="宋体"/>
          <w:szCs w:val="24"/>
        </w:rPr>
      </w:pPr>
      <w:r>
        <w:rPr>
          <w:snapToGrid/>
        </w:rPr>
        <w:drawing>
          <wp:inline distT="0" distB="0" distL="0" distR="0">
            <wp:extent cx="5274310" cy="525780"/>
            <wp:effectExtent l="0" t="0" r="2540" b="762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3B4DD">
      <w:pPr>
        <w:pStyle w:val="11"/>
        <w:widowControl/>
        <w:ind w:firstLine="480"/>
      </w:pPr>
      <w:r>
        <w:t>协议解码是逻辑分析仪的重要功能之一。当采集到波形数据后，需要将波形数据解读成特定协议的指令/数据，从而方便理解波形的实际含义，大大提高波形分析的效率。</w:t>
      </w:r>
    </w:p>
    <w:p w14:paraId="7D10D85D">
      <w:pPr>
        <w:pStyle w:val="11"/>
        <w:widowControl/>
        <w:ind w:firstLine="480"/>
      </w:pPr>
      <w:r>
        <w:t>单击解码按钮或按下快捷键“D ”即可调出协议解码窗口，协议解码窗口主要分为两个部分，协议选择和设置以及解码结果列表显示区域。</w:t>
      </w:r>
    </w:p>
    <w:p w14:paraId="7C750112">
      <w:pPr>
        <w:spacing w:before="21"/>
        <w:ind w:right="109"/>
        <w:rPr>
          <w:rFonts w:ascii="宋体" w:hAnsi="宋体" w:eastAsia="宋体" w:cs="宋体"/>
          <w:szCs w:val="24"/>
        </w:rPr>
      </w:pPr>
      <w:r>
        <w:rPr>
          <w:snapToGrid/>
        </w:rPr>
        <w:drawing>
          <wp:inline distT="0" distB="0" distL="0" distR="0">
            <wp:extent cx="5274310" cy="4833620"/>
            <wp:effectExtent l="0" t="0" r="2540" b="508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3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E4925">
      <w:pPr>
        <w:spacing w:before="21" w:line="243" w:lineRule="auto"/>
        <w:ind w:right="109"/>
        <w:rPr>
          <w:rFonts w:ascii="宋体" w:hAnsi="宋体" w:eastAsia="宋体" w:cs="宋体"/>
          <w:szCs w:val="24"/>
        </w:rPr>
      </w:pPr>
    </w:p>
    <w:p w14:paraId="76A1EDBA">
      <w:pPr>
        <w:pStyle w:val="3"/>
        <w:widowControl/>
        <w:numPr>
          <w:ilvl w:val="0"/>
          <w:numId w:val="4"/>
        </w:numPr>
        <w:rPr>
          <w:rFonts w:ascii="黑体" w:hAnsi="黑体" w:cs="黑体"/>
        </w:rPr>
      </w:pPr>
      <w:bookmarkStart w:id="28" w:name="_Toc9620"/>
      <w:r>
        <w:t>文件操作</w:t>
      </w:r>
      <w:bookmarkEnd w:id="28"/>
    </w:p>
    <w:p w14:paraId="121BC620">
      <w:pPr>
        <w:spacing w:before="21"/>
        <w:ind w:right="109"/>
        <w:rPr>
          <w:rFonts w:ascii="宋体" w:hAnsi="宋体" w:eastAsia="宋体" w:cs="宋体"/>
          <w:szCs w:val="24"/>
        </w:rPr>
      </w:pPr>
      <w:r>
        <w:rPr>
          <w:snapToGrid/>
        </w:rPr>
        <w:drawing>
          <wp:inline distT="0" distB="0" distL="0" distR="0">
            <wp:extent cx="5274310" cy="489585"/>
            <wp:effectExtent l="0" t="0" r="2540" b="571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343BD">
      <w:pPr>
        <w:pStyle w:val="11"/>
        <w:widowControl/>
        <w:ind w:firstLine="480"/>
      </w:pPr>
      <w:r>
        <w:t>单击“文件”按钮，会弹出文件相关操作的菜单，如下图所示，BusView 支持配置加载/保存，数据打开/保存，数据导出，界面截图等文件操作。</w:t>
      </w:r>
    </w:p>
    <w:p w14:paraId="438A515F">
      <w:pPr>
        <w:spacing w:before="21"/>
        <w:ind w:right="109"/>
        <w:rPr>
          <w:rFonts w:ascii="宋体" w:hAnsi="宋体" w:eastAsia="宋体" w:cs="宋体"/>
          <w:szCs w:val="24"/>
        </w:rPr>
      </w:pPr>
      <w:r>
        <w:rPr>
          <w:snapToGrid/>
        </w:rPr>
        <w:drawing>
          <wp:inline distT="0" distB="0" distL="0" distR="0">
            <wp:extent cx="1609725" cy="2419350"/>
            <wp:effectExtent l="0" t="0" r="952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EE92D">
      <w:pPr>
        <w:pStyle w:val="3"/>
        <w:widowControl/>
        <w:numPr>
          <w:ilvl w:val="0"/>
          <w:numId w:val="4"/>
        </w:numPr>
        <w:rPr>
          <w:rFonts w:ascii="黑体" w:hAnsi="黑体" w:cs="黑体"/>
        </w:rPr>
      </w:pPr>
      <w:bookmarkStart w:id="29" w:name="_Toc24701"/>
      <w:r>
        <w:t>数据保存</w:t>
      </w:r>
      <w:bookmarkEnd w:id="29"/>
    </w:p>
    <w:p w14:paraId="405DD0CD">
      <w:pPr>
        <w:spacing w:before="21" w:line="243" w:lineRule="auto"/>
        <w:ind w:right="109"/>
        <w:rPr>
          <w:rFonts w:ascii="宋体" w:hAnsi="宋体" w:eastAsia="宋体" w:cs="宋体"/>
          <w:szCs w:val="24"/>
        </w:rPr>
      </w:pPr>
    </w:p>
    <w:p w14:paraId="456DFF3F">
      <w:pPr>
        <w:pStyle w:val="11"/>
        <w:widowControl/>
        <w:ind w:firstLine="480"/>
      </w:pPr>
      <w:r>
        <w:t>点击“文件 ”&gt; “保存 ”，设置需要保存的文件路径和保存的文件名，会将当前数据保存为可被BusView 软件解析的文件格式，以便稍后打开查看。</w:t>
      </w:r>
    </w:p>
    <w:p w14:paraId="5C22A69C">
      <w:pPr>
        <w:spacing w:before="21" w:line="243" w:lineRule="auto"/>
        <w:ind w:right="109"/>
        <w:rPr>
          <w:rFonts w:ascii="宋体" w:hAnsi="宋体" w:eastAsia="宋体" w:cs="宋体"/>
          <w:szCs w:val="24"/>
        </w:rPr>
      </w:pPr>
    </w:p>
    <w:p w14:paraId="49194045">
      <w:pPr>
        <w:pStyle w:val="3"/>
        <w:widowControl/>
        <w:numPr>
          <w:ilvl w:val="0"/>
          <w:numId w:val="4"/>
        </w:numPr>
        <w:rPr>
          <w:rFonts w:ascii="黑体" w:hAnsi="黑体" w:cs="黑体"/>
        </w:rPr>
      </w:pPr>
      <w:bookmarkStart w:id="30" w:name="_Toc20341"/>
      <w:r>
        <w:t>数据导出</w:t>
      </w:r>
      <w:bookmarkEnd w:id="30"/>
    </w:p>
    <w:p w14:paraId="61AA2760">
      <w:pPr>
        <w:spacing w:before="21" w:line="243" w:lineRule="auto"/>
        <w:ind w:right="109"/>
        <w:rPr>
          <w:rFonts w:ascii="宋体" w:hAnsi="宋体" w:eastAsia="宋体" w:cs="宋体"/>
          <w:szCs w:val="24"/>
        </w:rPr>
      </w:pPr>
    </w:p>
    <w:p w14:paraId="7BADC78D">
      <w:pPr>
        <w:pStyle w:val="11"/>
        <w:widowControl/>
        <w:ind w:firstLine="480"/>
      </w:pPr>
      <w:r>
        <w:t>BusView 支持把当前数据导出到通用文件格式，以便使用其他软件处理数据。在逻辑分析仪模式下，点击“文件”&gt;“导出”导出当前数据。 目前支持的导出格式包括：csv ，vcd 以及 gnuplot 等。</w:t>
      </w:r>
    </w:p>
    <w:p w14:paraId="2F58DDFF">
      <w:pPr>
        <w:pStyle w:val="11"/>
        <w:widowControl/>
        <w:ind w:firstLine="480"/>
      </w:pPr>
      <w:r>
        <w:t>如下图所示，导出 csv 文件可以选择导出原始数据或导出压缩数据。</w:t>
      </w:r>
    </w:p>
    <w:p w14:paraId="40B37267">
      <w:pPr>
        <w:spacing w:before="21"/>
        <w:ind w:right="109"/>
        <w:rPr>
          <w:rFonts w:ascii="宋体" w:hAnsi="宋体" w:eastAsia="宋体" w:cs="宋体"/>
          <w:szCs w:val="24"/>
        </w:rPr>
      </w:pPr>
      <w:r>
        <w:rPr>
          <w:snapToGrid/>
        </w:rPr>
        <w:drawing>
          <wp:inline distT="0" distB="0" distL="0" distR="0">
            <wp:extent cx="5114925" cy="2762250"/>
            <wp:effectExtent l="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DB770">
      <w:pPr>
        <w:pStyle w:val="3"/>
        <w:widowControl/>
        <w:numPr>
          <w:ilvl w:val="0"/>
          <w:numId w:val="4"/>
        </w:numPr>
        <w:rPr>
          <w:rFonts w:ascii="黑体" w:hAnsi="黑体" w:cs="黑体"/>
        </w:rPr>
      </w:pPr>
      <w:bookmarkStart w:id="31" w:name="_Toc14177"/>
      <w:r>
        <w:t>截图</w:t>
      </w:r>
      <w:bookmarkEnd w:id="31"/>
    </w:p>
    <w:p w14:paraId="792C6BA5">
      <w:pPr>
        <w:spacing w:before="21" w:line="243" w:lineRule="auto"/>
        <w:ind w:right="109"/>
        <w:rPr>
          <w:rFonts w:ascii="宋体" w:hAnsi="宋体" w:eastAsia="宋体" w:cs="宋体"/>
          <w:szCs w:val="24"/>
        </w:rPr>
      </w:pPr>
    </w:p>
    <w:p w14:paraId="28397274">
      <w:pPr>
        <w:pStyle w:val="11"/>
        <w:widowControl/>
        <w:ind w:firstLine="480"/>
      </w:pPr>
      <w:r>
        <w:t>如果希望把当前界面保存成图片格式，可以选择截屏操作。单击“截屏”菜单， 将保存当前的界面图形为 PNG 格式的文件。</w:t>
      </w:r>
    </w:p>
    <w:p w14:paraId="1B8A1262">
      <w:pPr>
        <w:pStyle w:val="3"/>
        <w:widowControl/>
        <w:numPr>
          <w:ilvl w:val="0"/>
          <w:numId w:val="4"/>
        </w:numPr>
        <w:rPr>
          <w:rFonts w:ascii="黑体" w:hAnsi="黑体" w:cs="黑体"/>
        </w:rPr>
      </w:pPr>
      <w:bookmarkStart w:id="32" w:name="_Toc25938"/>
      <w:r>
        <w:t>数据打开</w:t>
      </w:r>
      <w:bookmarkEnd w:id="32"/>
    </w:p>
    <w:p w14:paraId="4DF769C4">
      <w:pPr>
        <w:spacing w:before="21" w:line="243" w:lineRule="auto"/>
        <w:ind w:right="109"/>
        <w:rPr>
          <w:rFonts w:ascii="宋体" w:hAnsi="宋体" w:eastAsia="宋体" w:cs="宋体"/>
          <w:szCs w:val="24"/>
        </w:rPr>
      </w:pPr>
    </w:p>
    <w:p w14:paraId="667A1F5C">
      <w:pPr>
        <w:pStyle w:val="11"/>
        <w:widowControl/>
        <w:ind w:firstLine="480"/>
      </w:pPr>
      <w:r>
        <w:t>点击“文件 ”&gt; “打开”，然后选择要加载的数据文件，数据将重新加载并在波形窗口中显示。 BusView 仅支持打开以 .bus 后缀结尾的文件。</w:t>
      </w:r>
    </w:p>
    <w:p w14:paraId="15DF5C1F">
      <w:pPr>
        <w:spacing w:before="21" w:line="243" w:lineRule="auto"/>
        <w:ind w:right="109"/>
        <w:rPr>
          <w:rFonts w:ascii="宋体" w:hAnsi="宋体" w:eastAsia="宋体" w:cs="宋体"/>
          <w:szCs w:val="24"/>
        </w:rPr>
      </w:pPr>
    </w:p>
    <w:p w14:paraId="11497A71"/>
    <w:sectPr>
      <w:headerReference r:id="rId4" w:type="default"/>
      <w:footerReference r:id="rId5" w:type="default"/>
      <w:pgSz w:w="11906" w:h="16838"/>
      <w:pgMar w:top="1587" w:right="1587" w:bottom="1474" w:left="1587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CF135D">
    <w:pPr>
      <w:pStyle w:val="11"/>
      <w:spacing w:line="228" w:lineRule="auto"/>
      <w:ind w:left="5234" w:firstLine="48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2D2B2F">
                          <w:pPr>
                            <w:pStyle w:val="13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sz w:val="32"/>
                              <w:szCs w:val="32"/>
                            </w:rPr>
                            <w:t>14</w: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m63mMr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Jut5j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62D2B2F">
                    <w:pPr>
                      <w:pStyle w:val="13"/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sz w:val="32"/>
                        <w:szCs w:val="32"/>
                      </w:rPr>
                      <w:t>14</w:t>
                    </w:r>
                    <w:r>
                      <w:rPr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D08381">
    <w:pPr>
      <w:pStyle w:val="14"/>
      <w:rPr>
        <w:rFonts w:eastAsiaTheme="minorEastAsia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B1A51D">
                          <w:pPr>
                            <w:pStyle w:val="14"/>
                            <w:jc w:val="both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AB1A51D">
                    <w:pPr>
                      <w:pStyle w:val="14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>BusView用户手册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A20849"/>
    <w:multiLevelType w:val="singleLevel"/>
    <w:tmpl w:val="A4A20849"/>
    <w:lvl w:ilvl="0" w:tentative="0">
      <w:start w:val="1"/>
      <w:numFmt w:val="decimal"/>
      <w:suff w:val="space"/>
      <w:lvlText w:val="%1."/>
      <w:lvlJc w:val="left"/>
      <w:pPr>
        <w:ind w:left="0" w:firstLine="480"/>
      </w:pPr>
      <w:rPr>
        <w:rFonts w:hint="default"/>
      </w:rPr>
    </w:lvl>
  </w:abstractNum>
  <w:abstractNum w:abstractNumId="1">
    <w:nsid w:val="D24FF18C"/>
    <w:multiLevelType w:val="singleLevel"/>
    <w:tmpl w:val="D24FF18C"/>
    <w:lvl w:ilvl="0" w:tentative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</w:abstractNum>
  <w:abstractNum w:abstractNumId="2">
    <w:nsid w:val="E5891462"/>
    <w:multiLevelType w:val="singleLevel"/>
    <w:tmpl w:val="E5891462"/>
    <w:lvl w:ilvl="0" w:tentative="0">
      <w:start w:val="1"/>
      <w:numFmt w:val="decimal"/>
      <w:suff w:val="space"/>
      <w:lvlText w:val="2.%1"/>
      <w:lvlJc w:val="left"/>
      <w:pPr>
        <w:ind w:left="0" w:firstLine="0"/>
      </w:pPr>
      <w:rPr>
        <w:rFonts w:hint="default"/>
      </w:rPr>
    </w:lvl>
  </w:abstractNum>
  <w:abstractNum w:abstractNumId="3">
    <w:nsid w:val="FE1B7039"/>
    <w:multiLevelType w:val="singleLevel"/>
    <w:tmpl w:val="FE1B7039"/>
    <w:lvl w:ilvl="0" w:tentative="0">
      <w:start w:val="1"/>
      <w:numFmt w:val="decimal"/>
      <w:suff w:val="space"/>
      <w:lvlText w:val="3.%1"/>
      <w:lvlJc w:val="left"/>
      <w:pPr>
        <w:ind w:left="0" w:firstLine="0"/>
      </w:pPr>
      <w:rPr>
        <w:rFonts w:hint="default"/>
      </w:rPr>
    </w:lvl>
  </w:abstractNum>
  <w:abstractNum w:abstractNumId="4">
    <w:nsid w:val="4B5E309F"/>
    <w:multiLevelType w:val="singleLevel"/>
    <w:tmpl w:val="4B5E309F"/>
    <w:lvl w:ilvl="0" w:tentative="0">
      <w:start w:val="1"/>
      <w:numFmt w:val="decimal"/>
      <w:suff w:val="space"/>
      <w:lvlText w:val="%1."/>
      <w:lvlJc w:val="left"/>
      <w:pPr>
        <w:ind w:left="0" w:firstLine="480"/>
      </w:pPr>
      <w:rPr>
        <w:rFonts w:hint="default"/>
      </w:rPr>
    </w:lvl>
  </w:abstractNum>
  <w:abstractNum w:abstractNumId="5">
    <w:nsid w:val="7939E6B5"/>
    <w:multiLevelType w:val="multilevel"/>
    <w:tmpl w:val="7939E6B5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6">
    <w:nsid w:val="7EE0539A"/>
    <w:multiLevelType w:val="singleLevel"/>
    <w:tmpl w:val="7EE0539A"/>
    <w:lvl w:ilvl="0" w:tentative="0">
      <w:start w:val="1"/>
      <w:numFmt w:val="decimal"/>
      <w:suff w:val="space"/>
      <w:lvlText w:val="%1."/>
      <w:lvlJc w:val="left"/>
      <w:pPr>
        <w:ind w:left="0" w:firstLine="48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213"/>
    <w:rsid w:val="00051514"/>
    <w:rsid w:val="000E632D"/>
    <w:rsid w:val="000F6D3F"/>
    <w:rsid w:val="001102A9"/>
    <w:rsid w:val="00120B87"/>
    <w:rsid w:val="00162F3F"/>
    <w:rsid w:val="0019458B"/>
    <w:rsid w:val="001E3513"/>
    <w:rsid w:val="00250213"/>
    <w:rsid w:val="002A3544"/>
    <w:rsid w:val="002F13C8"/>
    <w:rsid w:val="00316B2E"/>
    <w:rsid w:val="00324182"/>
    <w:rsid w:val="003A2E4F"/>
    <w:rsid w:val="003B5D9F"/>
    <w:rsid w:val="003D688D"/>
    <w:rsid w:val="003F0CF3"/>
    <w:rsid w:val="00433F81"/>
    <w:rsid w:val="004D45BD"/>
    <w:rsid w:val="00603335"/>
    <w:rsid w:val="00614B12"/>
    <w:rsid w:val="006F04EC"/>
    <w:rsid w:val="008A4A48"/>
    <w:rsid w:val="008E5011"/>
    <w:rsid w:val="0096683E"/>
    <w:rsid w:val="00997AE5"/>
    <w:rsid w:val="00A47E89"/>
    <w:rsid w:val="00AE7F4C"/>
    <w:rsid w:val="00B317BC"/>
    <w:rsid w:val="00BF67E1"/>
    <w:rsid w:val="00C0586A"/>
    <w:rsid w:val="00D81E1C"/>
    <w:rsid w:val="00D9667D"/>
    <w:rsid w:val="00DB6DA6"/>
    <w:rsid w:val="00E66AB8"/>
    <w:rsid w:val="00F157E8"/>
    <w:rsid w:val="096D3D87"/>
    <w:rsid w:val="137E61A6"/>
    <w:rsid w:val="21B61F42"/>
    <w:rsid w:val="44CE6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after="160"/>
      <w:textAlignment w:val="baseline"/>
    </w:pPr>
    <w:rPr>
      <w:rFonts w:ascii="Arial" w:hAnsi="Arial" w:eastAsia="等线" w:cs="Arial"/>
      <w:snapToGrid w:val="0"/>
      <w:color w:val="000000"/>
      <w:sz w:val="24"/>
      <w:szCs w:val="21"/>
      <w:lang w:val="en-US" w:eastAsia="zh-CN" w:bidi="ar-SA"/>
    </w:rPr>
  </w:style>
  <w:style w:type="paragraph" w:styleId="2">
    <w:name w:val="heading 1"/>
    <w:next w:val="1"/>
    <w:qFormat/>
    <w:uiPriority w:val="9"/>
    <w:pPr>
      <w:widowControl w:val="0"/>
      <w:numPr>
        <w:ilvl w:val="0"/>
        <w:numId w:val="1"/>
      </w:numPr>
      <w:adjustRightInd w:val="0"/>
      <w:spacing w:before="320" w:line="300" w:lineRule="auto"/>
      <w:jc w:val="both"/>
      <w:outlineLvl w:val="0"/>
    </w:pPr>
    <w:rPr>
      <w:rFonts w:ascii="Times New Roman" w:hAnsi="Times New Roman" w:eastAsia="黑体" w:cs="Times New Roman"/>
      <w:color w:val="000000"/>
      <w:kern w:val="44"/>
      <w:sz w:val="32"/>
      <w:szCs w:val="44"/>
      <w:lang w:val="en-US" w:eastAsia="zh-CN" w:bidi="ar-SA"/>
    </w:rPr>
  </w:style>
  <w:style w:type="paragraph" w:styleId="3">
    <w:name w:val="heading 2"/>
    <w:next w:val="1"/>
    <w:link w:val="28"/>
    <w:unhideWhenUsed/>
    <w:qFormat/>
    <w:uiPriority w:val="9"/>
    <w:pPr>
      <w:widowControl w:val="0"/>
      <w:numPr>
        <w:ilvl w:val="1"/>
        <w:numId w:val="1"/>
      </w:numPr>
      <w:adjustRightInd w:val="0"/>
      <w:spacing w:before="280" w:line="300" w:lineRule="auto"/>
      <w:jc w:val="both"/>
      <w:outlineLvl w:val="1"/>
    </w:pPr>
    <w:rPr>
      <w:rFonts w:ascii="Times New Roman" w:hAnsi="Times New Roman" w:eastAsia="黑体" w:cs="Times New Roman"/>
      <w:kern w:val="2"/>
      <w:sz w:val="30"/>
      <w:szCs w:val="32"/>
      <w:lang w:val="en-US" w:eastAsia="zh-CN" w:bidi="ar-SA"/>
    </w:rPr>
  </w:style>
  <w:style w:type="paragraph" w:styleId="4">
    <w:name w:val="heading 3"/>
    <w:next w:val="1"/>
    <w:unhideWhenUsed/>
    <w:qFormat/>
    <w:uiPriority w:val="9"/>
    <w:pPr>
      <w:keepNext/>
      <w:keepLines/>
      <w:widowControl w:val="0"/>
      <w:numPr>
        <w:ilvl w:val="2"/>
        <w:numId w:val="1"/>
      </w:numPr>
      <w:adjustRightInd w:val="0"/>
      <w:spacing w:before="240" w:line="300" w:lineRule="auto"/>
      <w:jc w:val="both"/>
      <w:outlineLvl w:val="2"/>
    </w:pPr>
    <w:rPr>
      <w:rFonts w:ascii="Times New Roman" w:hAnsi="Times New Roman" w:eastAsia="黑体" w:cs="Times New Roman"/>
      <w:kern w:val="2"/>
      <w:sz w:val="30"/>
      <w:szCs w:val="24"/>
      <w:lang w:val="en-US" w:eastAsia="zh-CN" w:bidi="ar-SA"/>
    </w:rPr>
  </w:style>
  <w:style w:type="paragraph" w:styleId="5">
    <w:name w:val="heading 4"/>
    <w:next w:val="1"/>
    <w:semiHidden/>
    <w:unhideWhenUsed/>
    <w:qFormat/>
    <w:uiPriority w:val="9"/>
    <w:pPr>
      <w:keepNext/>
      <w:keepLines/>
      <w:widowControl w:val="0"/>
      <w:numPr>
        <w:ilvl w:val="3"/>
        <w:numId w:val="1"/>
      </w:numPr>
      <w:adjustRightInd w:val="0"/>
      <w:spacing w:before="200" w:line="300" w:lineRule="auto"/>
      <w:jc w:val="both"/>
      <w:outlineLvl w:val="3"/>
    </w:pPr>
    <w:rPr>
      <w:rFonts w:ascii="Times New Roman" w:hAnsi="Times New Roman" w:eastAsia="黑体" w:cs="Times New Roman"/>
      <w:bCs/>
      <w:kern w:val="2"/>
      <w:sz w:val="28"/>
      <w:szCs w:val="28"/>
      <w:lang w:val="en-US" w:eastAsia="zh-CN" w:bidi="ar-SA"/>
    </w:rPr>
  </w:style>
  <w:style w:type="paragraph" w:styleId="6">
    <w:name w:val="heading 5"/>
    <w:next w:val="1"/>
    <w:semiHidden/>
    <w:unhideWhenUsed/>
    <w:qFormat/>
    <w:uiPriority w:val="9"/>
    <w:pPr>
      <w:keepNext/>
      <w:keepLines/>
      <w:widowControl w:val="0"/>
      <w:numPr>
        <w:ilvl w:val="4"/>
        <w:numId w:val="1"/>
      </w:numPr>
      <w:adjustRightInd w:val="0"/>
      <w:spacing w:before="160" w:line="300" w:lineRule="auto"/>
      <w:jc w:val="both"/>
      <w:outlineLvl w:val="4"/>
    </w:pPr>
    <w:rPr>
      <w:rFonts w:ascii="Times New Roman" w:hAnsi="Times New Roman" w:eastAsia="黑体" w:cs="Times New Roman"/>
      <w:bCs/>
      <w:kern w:val="2"/>
      <w:sz w:val="28"/>
      <w:szCs w:val="28"/>
      <w:lang w:val="en-US" w:eastAsia="zh-CN" w:bidi="ar-SA"/>
    </w:rPr>
  </w:style>
  <w:style w:type="paragraph" w:styleId="7">
    <w:name w:val="heading 6"/>
    <w:next w:val="1"/>
    <w:semiHidden/>
    <w:unhideWhenUsed/>
    <w:qFormat/>
    <w:uiPriority w:val="9"/>
    <w:pPr>
      <w:keepNext/>
      <w:keepLines/>
      <w:widowControl w:val="0"/>
      <w:numPr>
        <w:ilvl w:val="5"/>
        <w:numId w:val="1"/>
      </w:numPr>
      <w:adjustRightInd w:val="0"/>
      <w:spacing w:before="120" w:line="300" w:lineRule="auto"/>
      <w:jc w:val="both"/>
      <w:outlineLvl w:val="5"/>
    </w:pPr>
    <w:rPr>
      <w:rFonts w:ascii="Times New Roman" w:hAnsi="Times New Roman" w:eastAsia="黑体" w:cs="Times New Roman"/>
      <w:bCs/>
      <w:kern w:val="2"/>
      <w:sz w:val="28"/>
      <w:szCs w:val="24"/>
      <w:lang w:val="en-US" w:eastAsia="zh-CN" w:bidi="ar-SA"/>
    </w:rPr>
  </w:style>
  <w:style w:type="paragraph" w:styleId="8">
    <w:name w:val="heading 7"/>
    <w:next w:val="1"/>
    <w:semiHidden/>
    <w:unhideWhenUsed/>
    <w:qFormat/>
    <w:uiPriority w:val="9"/>
    <w:pPr>
      <w:keepNext/>
      <w:keepLines/>
      <w:widowControl w:val="0"/>
      <w:numPr>
        <w:ilvl w:val="6"/>
        <w:numId w:val="1"/>
      </w:numPr>
      <w:adjustRightInd w:val="0"/>
      <w:spacing w:before="120" w:line="300" w:lineRule="auto"/>
      <w:jc w:val="both"/>
      <w:outlineLvl w:val="6"/>
    </w:pPr>
    <w:rPr>
      <w:rFonts w:ascii="Times New Roman" w:hAnsi="Times New Roman" w:eastAsia="黑体" w:cs="Times New Roman"/>
      <w:bCs/>
      <w:kern w:val="2"/>
      <w:sz w:val="24"/>
      <w:szCs w:val="24"/>
      <w:lang w:val="en-US" w:eastAsia="zh-CN" w:bidi="ar-SA"/>
    </w:rPr>
  </w:style>
  <w:style w:type="paragraph" w:styleId="9">
    <w:name w:val="heading 8"/>
    <w:next w:val="1"/>
    <w:semiHidden/>
    <w:unhideWhenUsed/>
    <w:qFormat/>
    <w:uiPriority w:val="9"/>
    <w:pPr>
      <w:keepNext/>
      <w:keepLines/>
      <w:widowControl w:val="0"/>
      <w:numPr>
        <w:ilvl w:val="7"/>
        <w:numId w:val="1"/>
      </w:numPr>
      <w:adjustRightInd w:val="0"/>
      <w:spacing w:before="120" w:line="300" w:lineRule="auto"/>
      <w:jc w:val="both"/>
      <w:outlineLvl w:val="7"/>
    </w:pPr>
    <w:rPr>
      <w:rFonts w:ascii="Times New Roman" w:hAnsi="Times New Roman" w:eastAsia="黑体" w:cs="Times New Roman"/>
      <w:kern w:val="2"/>
      <w:sz w:val="24"/>
      <w:szCs w:val="24"/>
      <w:lang w:val="en-US" w:eastAsia="zh-CN" w:bidi="ar-SA"/>
    </w:rPr>
  </w:style>
  <w:style w:type="paragraph" w:styleId="10">
    <w:name w:val="heading 9"/>
    <w:next w:val="1"/>
    <w:semiHidden/>
    <w:unhideWhenUsed/>
    <w:qFormat/>
    <w:uiPriority w:val="9"/>
    <w:pPr>
      <w:keepNext/>
      <w:keepLines/>
      <w:widowControl w:val="0"/>
      <w:numPr>
        <w:ilvl w:val="8"/>
        <w:numId w:val="1"/>
      </w:numPr>
      <w:adjustRightInd w:val="0"/>
      <w:spacing w:before="120" w:line="300" w:lineRule="auto"/>
      <w:jc w:val="both"/>
      <w:outlineLvl w:val="8"/>
    </w:pPr>
    <w:rPr>
      <w:rFonts w:ascii="Times New Roman" w:hAnsi="Times New Roman" w:eastAsia="黑体" w:cs="Times New Roman"/>
      <w:kern w:val="2"/>
      <w:sz w:val="21"/>
      <w:szCs w:val="21"/>
      <w:lang w:val="en-US" w:eastAsia="zh-CN" w:bidi="ar-SA"/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link w:val="27"/>
    <w:semiHidden/>
    <w:qFormat/>
    <w:uiPriority w:val="0"/>
    <w:pPr>
      <w:widowControl w:val="0"/>
      <w:adjustRightInd w:val="0"/>
      <w:spacing w:before="100" w:after="10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12">
    <w:name w:val="Date"/>
    <w:basedOn w:val="1"/>
    <w:next w:val="1"/>
    <w:link w:val="26"/>
    <w:semiHidden/>
    <w:unhideWhenUsed/>
    <w:qFormat/>
    <w:uiPriority w:val="99"/>
    <w:pPr>
      <w:ind w:left="100" w:leftChars="2500"/>
    </w:pPr>
  </w:style>
  <w:style w:type="paragraph" w:styleId="13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4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5">
    <w:name w:val="toc 1"/>
    <w:basedOn w:val="1"/>
    <w:next w:val="1"/>
    <w:semiHidden/>
    <w:unhideWhenUsed/>
    <w:qFormat/>
    <w:uiPriority w:val="39"/>
  </w:style>
  <w:style w:type="paragraph" w:styleId="16">
    <w:name w:val="Subtitle"/>
    <w:qFormat/>
    <w:uiPriority w:val="11"/>
    <w:pPr>
      <w:widowControl w:val="0"/>
      <w:adjustRightInd w:val="0"/>
      <w:spacing w:before="100" w:after="100"/>
      <w:jc w:val="center"/>
    </w:pPr>
    <w:rPr>
      <w:rFonts w:ascii="Times New Roman" w:hAnsi="Times New Roman" w:eastAsia="黑体" w:cs="Times New Roman"/>
      <w:kern w:val="28"/>
      <w:sz w:val="32"/>
      <w:szCs w:val="24"/>
      <w:lang w:val="en-US" w:eastAsia="zh-CN" w:bidi="ar-SA"/>
    </w:rPr>
  </w:style>
  <w:style w:type="paragraph" w:styleId="17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8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9">
    <w:name w:val="Title"/>
    <w:qFormat/>
    <w:uiPriority w:val="10"/>
    <w:pPr>
      <w:widowControl w:val="0"/>
      <w:adjustRightInd w:val="0"/>
      <w:spacing w:before="100" w:after="100"/>
      <w:jc w:val="center"/>
    </w:pPr>
    <w:rPr>
      <w:rFonts w:ascii="Times New Roman" w:hAnsi="Times New Roman" w:eastAsia="黑体" w:cs="Times New Roman"/>
      <w:kern w:val="2"/>
      <w:sz w:val="36"/>
      <w:szCs w:val="24"/>
      <w:lang w:val="en-US" w:eastAsia="zh-CN" w:bidi="ar-SA"/>
    </w:rPr>
  </w:style>
  <w:style w:type="character" w:customStyle="1" w:styleId="22">
    <w:name w:val="页眉 字符"/>
    <w:basedOn w:val="21"/>
    <w:link w:val="14"/>
    <w:qFormat/>
    <w:uiPriority w:val="99"/>
    <w:rPr>
      <w:sz w:val="18"/>
      <w:szCs w:val="18"/>
    </w:rPr>
  </w:style>
  <w:style w:type="character" w:customStyle="1" w:styleId="23">
    <w:name w:val="页脚 字符"/>
    <w:basedOn w:val="21"/>
    <w:link w:val="13"/>
    <w:qFormat/>
    <w:uiPriority w:val="99"/>
    <w:rPr>
      <w:sz w:val="18"/>
      <w:szCs w:val="18"/>
    </w:rPr>
  </w:style>
  <w:style w:type="table" w:customStyle="1" w:styleId="24">
    <w:name w:val="Table Normal"/>
    <w:semiHidden/>
    <w:unhideWhenUsed/>
    <w:qFormat/>
    <w:uiPriority w:val="0"/>
    <w:pPr>
      <w:spacing w:after="160" w:line="278" w:lineRule="auto"/>
    </w:pPr>
    <w:rPr>
      <w:rFonts w:ascii="Arial" w:hAnsi="Arial" w:cs="Arial"/>
      <w:snapToGrid w:val="0"/>
      <w:color w:val="000000"/>
      <w:szCs w:val="21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5">
    <w:name w:val="无格式表格 21"/>
    <w:basedOn w:val="20"/>
    <w:qFormat/>
    <w:uiPriority w:val="42"/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bC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2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1Horz">
      <w:tcPr>
        <w:tcBorders>
          <w:top w:val="single" w:color="7E7E7E" w:themeColor="text1" w:themeTint="80" w:sz="4" w:space="0"/>
          <w:bottom w:val="single" w:color="7E7E7E" w:themeColor="text1" w:themeTint="80" w:sz="4" w:space="0"/>
        </w:tcBorders>
      </w:tcPr>
    </w:tblStylePr>
  </w:style>
  <w:style w:type="character" w:customStyle="1" w:styleId="26">
    <w:name w:val="日期 字符"/>
    <w:basedOn w:val="21"/>
    <w:link w:val="12"/>
    <w:semiHidden/>
    <w:uiPriority w:val="99"/>
    <w:rPr>
      <w:rFonts w:ascii="Arial" w:hAnsi="Arial" w:cs="Arial"/>
      <w:snapToGrid w:val="0"/>
      <w:color w:val="000000"/>
      <w:kern w:val="0"/>
      <w:szCs w:val="21"/>
      <w:lang w:eastAsia="en-US"/>
    </w:rPr>
  </w:style>
  <w:style w:type="character" w:customStyle="1" w:styleId="27">
    <w:name w:val="正文文本 字符"/>
    <w:basedOn w:val="21"/>
    <w:link w:val="11"/>
    <w:semiHidden/>
    <w:qFormat/>
    <w:uiPriority w:val="0"/>
    <w:rPr>
      <w:rFonts w:ascii="Arial" w:hAnsi="Arial" w:eastAsia="Arial" w:cs="Arial"/>
      <w:snapToGrid w:val="0"/>
      <w:color w:val="000000"/>
      <w:kern w:val="0"/>
      <w:szCs w:val="21"/>
      <w:lang w:eastAsia="en-US"/>
    </w:rPr>
  </w:style>
  <w:style w:type="character" w:customStyle="1" w:styleId="28">
    <w:name w:val="标题 2 字符"/>
    <w:link w:val="3"/>
    <w:qFormat/>
    <w:uiPriority w:val="0"/>
    <w:rPr>
      <w:rFonts w:ascii="Arial" w:hAnsi="Arial" w:eastAsia="楷体"/>
      <w:b/>
      <w:sz w:val="32"/>
    </w:rPr>
  </w:style>
  <w:style w:type="paragraph" w:customStyle="1" w:styleId="29">
    <w:name w:val="目录标题"/>
    <w:next w:val="1"/>
    <w:qFormat/>
    <w:uiPriority w:val="0"/>
    <w:pPr>
      <w:keepNext/>
      <w:keepLines/>
      <w:spacing w:before="240" w:line="259" w:lineRule="auto"/>
      <w:jc w:val="both"/>
    </w:pPr>
    <w:rPr>
      <w:rFonts w:ascii="等线 Light" w:hAnsi="等线 Light" w:eastAsia="等线 Light" w:cs="Times New Roman"/>
      <w:color w:val="2E54A1" w:themeColor="accent1" w:themeShade="BF"/>
      <w:sz w:val="28"/>
      <w:szCs w:val="32"/>
      <w:lang w:val="en-US" w:eastAsia="zh-CN" w:bidi="ar-SA"/>
    </w:rPr>
  </w:style>
  <w:style w:type="paragraph" w:customStyle="1" w:styleId="30">
    <w:name w:val="章标题"/>
    <w:next w:val="1"/>
    <w:qFormat/>
    <w:uiPriority w:val="0"/>
    <w:pPr>
      <w:widowControl w:val="0"/>
      <w:adjustRightInd w:val="0"/>
      <w:spacing w:before="100" w:after="100" w:line="360" w:lineRule="auto"/>
      <w:jc w:val="center"/>
      <w:outlineLvl w:val="0"/>
    </w:pPr>
    <w:rPr>
      <w:rFonts w:ascii="Times New Roman" w:hAnsi="Times New Roman" w:eastAsia="黑体" w:cs="Times New Roman"/>
      <w:kern w:val="44"/>
      <w:sz w:val="36"/>
      <w:szCs w:val="4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header" Target="head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3219</Words>
  <Characters>3580</Characters>
  <Lines>39</Lines>
  <Paragraphs>10</Paragraphs>
  <TotalTime>9</TotalTime>
  <ScaleCrop>false</ScaleCrop>
  <LinksUpToDate>false</LinksUpToDate>
  <CharactersWithSpaces>3701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2025-09-09T09:15:00Z</dcterms:created>
  <dc:creator>Administrator</dc:creator>
  <cp:lastModifiedBy>工程师</cp:lastModifiedBy>
  <dcterms:modified xsi:type="dcterms:W3CDTF">2025-09-11T04:01:10Z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eyJoZGlkIjoiZDI4NzJkMmQ5YzJkN2ZkM2ZiMjFmNjcxZmI0NTIyNzUifQ==</vt:lpwstr>
  </property>
  <property fmtid="{D5CDD505-2E9C-101B-9397-08002B2CF9AE}" pid="3" name="KSOProductBuildVer">
    <vt:lpwstr>2052-12.1.0.22529</vt:lpwstr>
  </property>
  <property fmtid="{D5CDD505-2E9C-101B-9397-08002B2CF9AE}" pid="4" name="ICV">
    <vt:lpwstr>7B9B0EB014B2443DA2FCA6328DE14C44_13</vt:lpwstr>
  </property>
</Properties>
</file>